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42D" w:rsidRDefault="00BA7135" w:rsidP="005D7393">
      <w:pPr>
        <w:spacing w:after="0"/>
      </w:pPr>
      <w:r w:rsidRPr="00BA7135">
        <w:rPr>
          <w:noProof/>
        </w:rPr>
        <w:drawing>
          <wp:anchor distT="0" distB="0" distL="114300" distR="114300" simplePos="0" relativeHeight="251659264" behindDoc="0" locked="0" layoutInCell="1" allowOverlap="1">
            <wp:simplePos x="0" y="0"/>
            <wp:positionH relativeFrom="margin">
              <wp:posOffset>-123825</wp:posOffset>
            </wp:positionH>
            <wp:positionV relativeFrom="margin">
              <wp:posOffset>-95250</wp:posOffset>
            </wp:positionV>
            <wp:extent cx="2295525" cy="809625"/>
            <wp:effectExtent l="19050" t="0" r="9525" b="0"/>
            <wp:wrapSquare wrapText="bothSides"/>
            <wp:docPr id="1" name="Picture 1" descr="!pew_horiz_4c_blueonwhite_PCT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w_horiz_4c_blueonwhite_PCT_word"/>
                    <pic:cNvPicPr>
                      <a:picLocks noChangeAspect="1" noChangeArrowheads="1"/>
                    </pic:cNvPicPr>
                  </pic:nvPicPr>
                  <pic:blipFill>
                    <a:blip r:embed="rId7" cstate="print"/>
                    <a:srcRect/>
                    <a:stretch>
                      <a:fillRect/>
                    </a:stretch>
                  </pic:blipFill>
                  <pic:spPr bwMode="auto">
                    <a:xfrm>
                      <a:off x="0" y="0"/>
                      <a:ext cx="2295525" cy="809625"/>
                    </a:xfrm>
                    <a:prstGeom prst="rect">
                      <a:avLst/>
                    </a:prstGeom>
                    <a:noFill/>
                    <a:ln w="9525">
                      <a:noFill/>
                      <a:miter lim="800000"/>
                      <a:headEnd/>
                      <a:tailEnd/>
                    </a:ln>
                  </pic:spPr>
                </pic:pic>
              </a:graphicData>
            </a:graphic>
          </wp:anchor>
        </w:drawing>
      </w:r>
    </w:p>
    <w:p w:rsidR="005D7393" w:rsidRDefault="005D7393" w:rsidP="005D7393">
      <w:pPr>
        <w:spacing w:after="0"/>
      </w:pPr>
    </w:p>
    <w:p w:rsidR="005D7393" w:rsidRDefault="005D7393" w:rsidP="005D7393">
      <w:pPr>
        <w:spacing w:after="0"/>
      </w:pPr>
    </w:p>
    <w:p w:rsidR="00BA7135" w:rsidRDefault="00BA7135" w:rsidP="005D7393">
      <w:pPr>
        <w:spacing w:after="0"/>
        <w:jc w:val="center"/>
        <w:rPr>
          <w:rFonts w:ascii="Times New Roman" w:hAnsi="Times New Roman" w:cs="Times New Roman"/>
          <w:b/>
          <w:sz w:val="28"/>
          <w:szCs w:val="28"/>
        </w:rPr>
      </w:pPr>
    </w:p>
    <w:p w:rsidR="00BA7135" w:rsidRDefault="00BA7135" w:rsidP="00BA7135">
      <w:pPr>
        <w:spacing w:after="0"/>
        <w:rPr>
          <w:rFonts w:ascii="Times New Roman" w:hAnsi="Times New Roman" w:cs="Times New Roman"/>
          <w:b/>
          <w:sz w:val="28"/>
          <w:szCs w:val="28"/>
        </w:rPr>
      </w:pPr>
    </w:p>
    <w:p w:rsidR="00BA7135" w:rsidRDefault="00BA7135" w:rsidP="005D7393">
      <w:pPr>
        <w:spacing w:after="0"/>
        <w:jc w:val="center"/>
        <w:rPr>
          <w:rFonts w:ascii="Times New Roman" w:hAnsi="Times New Roman" w:cs="Times New Roman"/>
          <w:b/>
          <w:sz w:val="28"/>
          <w:szCs w:val="28"/>
        </w:rPr>
      </w:pPr>
    </w:p>
    <w:p w:rsidR="005D7393" w:rsidRPr="00E82E34" w:rsidRDefault="005D7393" w:rsidP="005D7393">
      <w:pPr>
        <w:spacing w:after="0"/>
        <w:jc w:val="center"/>
        <w:rPr>
          <w:rFonts w:ascii="Times New Roman" w:hAnsi="Times New Roman" w:cs="Times New Roman"/>
          <w:b/>
          <w:sz w:val="28"/>
          <w:szCs w:val="28"/>
        </w:rPr>
      </w:pPr>
      <w:r w:rsidRPr="00E82E34">
        <w:rPr>
          <w:rFonts w:ascii="Times New Roman" w:hAnsi="Times New Roman" w:cs="Times New Roman"/>
          <w:b/>
          <w:sz w:val="28"/>
          <w:szCs w:val="28"/>
        </w:rPr>
        <w:t xml:space="preserve">Statement by Robert P. Martin, </w:t>
      </w:r>
      <w:r>
        <w:rPr>
          <w:rFonts w:ascii="Times New Roman" w:hAnsi="Times New Roman" w:cs="Times New Roman"/>
          <w:b/>
          <w:sz w:val="28"/>
          <w:szCs w:val="28"/>
        </w:rPr>
        <w:t>Senior Officer</w:t>
      </w:r>
    </w:p>
    <w:p w:rsidR="005D7393" w:rsidRPr="00E82E34" w:rsidRDefault="005D7393" w:rsidP="005D7393">
      <w:pPr>
        <w:spacing w:after="0"/>
        <w:jc w:val="center"/>
        <w:rPr>
          <w:rFonts w:ascii="Times New Roman" w:hAnsi="Times New Roman" w:cs="Times New Roman"/>
          <w:b/>
          <w:sz w:val="28"/>
          <w:szCs w:val="28"/>
        </w:rPr>
      </w:pPr>
      <w:r>
        <w:rPr>
          <w:rFonts w:ascii="Times New Roman" w:hAnsi="Times New Roman" w:cs="Times New Roman"/>
          <w:b/>
          <w:sz w:val="28"/>
          <w:szCs w:val="28"/>
        </w:rPr>
        <w:t>The Pew Environment Group</w:t>
      </w:r>
    </w:p>
    <w:p w:rsidR="005D7393" w:rsidRPr="00E82E34" w:rsidRDefault="005D7393" w:rsidP="005D7393">
      <w:pPr>
        <w:spacing w:after="0"/>
        <w:jc w:val="center"/>
        <w:rPr>
          <w:rFonts w:ascii="Times New Roman" w:hAnsi="Times New Roman" w:cs="Times New Roman"/>
          <w:b/>
          <w:sz w:val="28"/>
          <w:szCs w:val="28"/>
        </w:rPr>
      </w:pPr>
      <w:r>
        <w:rPr>
          <w:rFonts w:ascii="Times New Roman" w:hAnsi="Times New Roman" w:cs="Times New Roman"/>
          <w:b/>
          <w:sz w:val="28"/>
          <w:szCs w:val="28"/>
        </w:rPr>
        <w:t>July 13, 2009</w:t>
      </w:r>
    </w:p>
    <w:p w:rsidR="005D7393" w:rsidRDefault="005D7393" w:rsidP="005D7393">
      <w:pPr>
        <w:spacing w:after="0"/>
        <w:jc w:val="center"/>
        <w:rPr>
          <w:rFonts w:ascii="Times New Roman" w:hAnsi="Times New Roman" w:cs="Times New Roman"/>
          <w:b/>
          <w:sz w:val="28"/>
          <w:szCs w:val="28"/>
        </w:rPr>
      </w:pPr>
      <w:r>
        <w:rPr>
          <w:rFonts w:ascii="Times New Roman" w:hAnsi="Times New Roman" w:cs="Times New Roman"/>
          <w:b/>
          <w:sz w:val="28"/>
          <w:szCs w:val="28"/>
        </w:rPr>
        <w:t>United States House of Representatives Committee on Rules</w:t>
      </w:r>
    </w:p>
    <w:p w:rsidR="005D7393" w:rsidRDefault="005D7393" w:rsidP="005D7393">
      <w:pPr>
        <w:spacing w:after="0"/>
        <w:jc w:val="center"/>
        <w:rPr>
          <w:rFonts w:ascii="Times New Roman" w:hAnsi="Times New Roman" w:cs="Times New Roman"/>
          <w:b/>
          <w:sz w:val="28"/>
          <w:szCs w:val="28"/>
        </w:rPr>
      </w:pPr>
    </w:p>
    <w:p w:rsidR="00BA7135" w:rsidRDefault="00BA7135" w:rsidP="005D7393">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Hearing on H.R. 1549, </w:t>
      </w:r>
    </w:p>
    <w:p w:rsidR="00BA7135" w:rsidRDefault="00BA7135" w:rsidP="005D7393">
      <w:pPr>
        <w:spacing w:after="0"/>
        <w:jc w:val="center"/>
        <w:rPr>
          <w:rFonts w:ascii="Times New Roman" w:hAnsi="Times New Roman" w:cs="Times New Roman"/>
          <w:b/>
          <w:sz w:val="28"/>
          <w:szCs w:val="28"/>
        </w:rPr>
      </w:pPr>
      <w:r>
        <w:rPr>
          <w:rFonts w:ascii="Times New Roman" w:hAnsi="Times New Roman" w:cs="Times New Roman"/>
          <w:b/>
          <w:sz w:val="28"/>
          <w:szCs w:val="28"/>
        </w:rPr>
        <w:t>Preservation of Antibiotics for Medical Treatment Act</w:t>
      </w:r>
    </w:p>
    <w:p w:rsidR="00BA7135" w:rsidRDefault="00BA7135" w:rsidP="005D7393">
      <w:pPr>
        <w:spacing w:after="0"/>
        <w:jc w:val="center"/>
        <w:rPr>
          <w:rFonts w:ascii="Times New Roman" w:hAnsi="Times New Roman" w:cs="Times New Roman"/>
          <w:b/>
          <w:sz w:val="28"/>
          <w:szCs w:val="28"/>
        </w:rPr>
      </w:pPr>
    </w:p>
    <w:p w:rsidR="005D7393" w:rsidRDefault="005D7393" w:rsidP="005D739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Good </w:t>
      </w:r>
      <w:r w:rsidR="00E80D04">
        <w:rPr>
          <w:rFonts w:ascii="Times New Roman" w:hAnsi="Times New Roman" w:cs="Times New Roman"/>
          <w:sz w:val="24"/>
          <w:szCs w:val="24"/>
        </w:rPr>
        <w:t>afternoon</w:t>
      </w:r>
      <w:r>
        <w:rPr>
          <w:rFonts w:ascii="Times New Roman" w:hAnsi="Times New Roman" w:cs="Times New Roman"/>
          <w:sz w:val="24"/>
          <w:szCs w:val="24"/>
        </w:rPr>
        <w:t xml:space="preserve"> Madame Chair and members of the Rules Committee.  My name is Robert P. Martin and I am a senior officer at The Pew Environment Group.  Prior to my current position at The Pew Environment Group, I was the Executive Director of the Pew Commission on Industrial Farm Animal Production (PCIFAP).  I appreciate the opportunity to appear today.</w:t>
      </w:r>
    </w:p>
    <w:p w:rsidR="00BA7135" w:rsidRDefault="00BA7135" w:rsidP="005D7393">
      <w:pPr>
        <w:spacing w:after="0" w:line="480" w:lineRule="auto"/>
        <w:jc w:val="both"/>
        <w:rPr>
          <w:rFonts w:ascii="Times New Roman" w:hAnsi="Times New Roman" w:cs="Times New Roman"/>
          <w:sz w:val="24"/>
          <w:szCs w:val="24"/>
        </w:rPr>
      </w:pPr>
    </w:p>
    <w:p w:rsidR="005D7393" w:rsidRDefault="005D7393" w:rsidP="005D739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Pew Commission on Industrial Farm Animal Production was an independent commission funded by a grant from The Pew Charitable Trusts to the Johns Hopkins Bloomberg School of Public Health to investigate the problems associated with industrial farm animal production (IFAP) operations and to make recommendations to solve them.  Fifteen Commissioners with diverse backgrounds began meeting in </w:t>
      </w:r>
      <w:r w:rsidR="00CA1426">
        <w:rPr>
          <w:rFonts w:ascii="Times New Roman" w:hAnsi="Times New Roman" w:cs="Times New Roman"/>
          <w:sz w:val="24"/>
          <w:szCs w:val="24"/>
        </w:rPr>
        <w:t>March of</w:t>
      </w:r>
      <w:r>
        <w:rPr>
          <w:rFonts w:ascii="Times New Roman" w:hAnsi="Times New Roman" w:cs="Times New Roman"/>
          <w:sz w:val="24"/>
          <w:szCs w:val="24"/>
        </w:rPr>
        <w:t xml:space="preserve"> 2006 to start their evidence-based review of the problems caused by IFAP.  I am attaching a list of the Commissioners with my statement.</w:t>
      </w:r>
    </w:p>
    <w:p w:rsidR="005D7393" w:rsidRDefault="005D7393" w:rsidP="005D7393">
      <w:pPr>
        <w:spacing w:after="0" w:line="480" w:lineRule="auto"/>
        <w:jc w:val="both"/>
        <w:rPr>
          <w:rFonts w:ascii="Times New Roman" w:hAnsi="Times New Roman" w:cs="Times New Roman"/>
          <w:sz w:val="24"/>
          <w:szCs w:val="24"/>
        </w:rPr>
      </w:pPr>
    </w:p>
    <w:p w:rsidR="005D7393" w:rsidRDefault="005D7393" w:rsidP="005D739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Over the </w:t>
      </w:r>
      <w:r w:rsidR="00CA1426">
        <w:rPr>
          <w:rFonts w:ascii="Times New Roman" w:hAnsi="Times New Roman" w:cs="Times New Roman"/>
          <w:sz w:val="24"/>
          <w:szCs w:val="24"/>
        </w:rPr>
        <w:t>next</w:t>
      </w:r>
      <w:r>
        <w:rPr>
          <w:rFonts w:ascii="Times New Roman" w:hAnsi="Times New Roman" w:cs="Times New Roman"/>
          <w:sz w:val="24"/>
          <w:szCs w:val="24"/>
        </w:rPr>
        <w:t xml:space="preserve"> two years, the Commission conducted 11 meetings and received thousands of pages of material submitted by a wide range of stakeholders and interested parties</w:t>
      </w:r>
      <w:r w:rsidR="00CA1426">
        <w:rPr>
          <w:rFonts w:ascii="Times New Roman" w:hAnsi="Times New Roman" w:cs="Times New Roman"/>
          <w:sz w:val="24"/>
          <w:szCs w:val="24"/>
        </w:rPr>
        <w:t>, including the animal agriculture industry</w:t>
      </w:r>
      <w:r>
        <w:rPr>
          <w:rFonts w:ascii="Times New Roman" w:hAnsi="Times New Roman" w:cs="Times New Roman"/>
          <w:sz w:val="24"/>
          <w:szCs w:val="24"/>
        </w:rPr>
        <w:t xml:space="preserve">.  Two public hearings were held to hear from the general public with an interest in IFAP issues. </w:t>
      </w:r>
      <w:r w:rsidR="00CA1426">
        <w:rPr>
          <w:rFonts w:ascii="Times New Roman" w:hAnsi="Times New Roman" w:cs="Times New Roman"/>
          <w:sz w:val="24"/>
          <w:szCs w:val="24"/>
        </w:rPr>
        <w:t xml:space="preserve">Approximately 400 people attended </w:t>
      </w:r>
      <w:r w:rsidR="00175AE5">
        <w:rPr>
          <w:rFonts w:ascii="Times New Roman" w:hAnsi="Times New Roman" w:cs="Times New Roman"/>
          <w:sz w:val="24"/>
          <w:szCs w:val="24"/>
        </w:rPr>
        <w:t>those</w:t>
      </w:r>
      <w:r w:rsidR="00CA1426">
        <w:rPr>
          <w:rFonts w:ascii="Times New Roman" w:hAnsi="Times New Roman" w:cs="Times New Roman"/>
          <w:sz w:val="24"/>
          <w:szCs w:val="24"/>
        </w:rPr>
        <w:t xml:space="preserve"> hearings. </w:t>
      </w:r>
      <w:r>
        <w:rPr>
          <w:rFonts w:ascii="Times New Roman" w:hAnsi="Times New Roman" w:cs="Times New Roman"/>
          <w:sz w:val="24"/>
          <w:szCs w:val="24"/>
        </w:rPr>
        <w:t xml:space="preserve">Eight technical </w:t>
      </w:r>
      <w:r>
        <w:rPr>
          <w:rFonts w:ascii="Times New Roman" w:hAnsi="Times New Roman" w:cs="Times New Roman"/>
          <w:sz w:val="24"/>
          <w:szCs w:val="24"/>
        </w:rPr>
        <w:lastRenderedPageBreak/>
        <w:t xml:space="preserve">reports were commissioned from leading academics to provide information in the Commission’s areas of interest. </w:t>
      </w:r>
      <w:r w:rsidR="00175AE5">
        <w:rPr>
          <w:rFonts w:ascii="Times New Roman" w:hAnsi="Times New Roman" w:cs="Times New Roman"/>
          <w:sz w:val="24"/>
          <w:szCs w:val="24"/>
        </w:rPr>
        <w:t>In addition, m</w:t>
      </w:r>
      <w:r w:rsidR="00CA1426">
        <w:rPr>
          <w:rFonts w:ascii="Times New Roman" w:hAnsi="Times New Roman" w:cs="Times New Roman"/>
          <w:sz w:val="24"/>
          <w:szCs w:val="24"/>
        </w:rPr>
        <w:t>ore than 170 peer-reviewed</w:t>
      </w:r>
      <w:r w:rsidR="00EA39C5">
        <w:rPr>
          <w:rFonts w:ascii="Times New Roman" w:hAnsi="Times New Roman" w:cs="Times New Roman"/>
          <w:sz w:val="24"/>
          <w:szCs w:val="24"/>
        </w:rPr>
        <w:t>,</w:t>
      </w:r>
      <w:r w:rsidR="006B6E17">
        <w:rPr>
          <w:rFonts w:ascii="Times New Roman" w:hAnsi="Times New Roman" w:cs="Times New Roman"/>
          <w:sz w:val="24"/>
          <w:szCs w:val="24"/>
        </w:rPr>
        <w:t xml:space="preserve"> independent academic studies were reviewed. </w:t>
      </w:r>
      <w:r>
        <w:rPr>
          <w:rFonts w:ascii="Times New Roman" w:hAnsi="Times New Roman" w:cs="Times New Roman"/>
          <w:sz w:val="24"/>
          <w:szCs w:val="24"/>
        </w:rPr>
        <w:t>The Commissioners themselves brought expertise in animal agriculture, public health, animal health, medicine, ethics, and rural sociology to the discussion. In addition, the Commission visited broiler, hog, dairy, egg, and swine IFAP operations, as well as a large cattle feedlot.</w:t>
      </w:r>
    </w:p>
    <w:p w:rsidR="00BC0CC3" w:rsidRDefault="00BC0CC3" w:rsidP="005D7393">
      <w:pPr>
        <w:spacing w:after="0" w:line="480" w:lineRule="auto"/>
        <w:jc w:val="both"/>
        <w:rPr>
          <w:rFonts w:ascii="Times New Roman" w:hAnsi="Times New Roman" w:cs="Times New Roman"/>
          <w:sz w:val="24"/>
          <w:szCs w:val="24"/>
        </w:rPr>
      </w:pPr>
    </w:p>
    <w:p w:rsidR="005D7393" w:rsidRDefault="005D7393" w:rsidP="005D739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Commission’s findings make </w:t>
      </w:r>
      <w:r w:rsidR="000E4904">
        <w:rPr>
          <w:rFonts w:ascii="Times New Roman" w:hAnsi="Times New Roman" w:cs="Times New Roman"/>
          <w:sz w:val="24"/>
          <w:szCs w:val="24"/>
        </w:rPr>
        <w:t xml:space="preserve">it </w:t>
      </w:r>
      <w:r>
        <w:rPr>
          <w:rFonts w:ascii="Times New Roman" w:hAnsi="Times New Roman" w:cs="Times New Roman"/>
          <w:sz w:val="24"/>
          <w:szCs w:val="24"/>
        </w:rPr>
        <w:t>clear that the present system of producing food animals in the United States is not sustainable and presents an unacceptable level of risk to public health, damage to the environment, as well as unnecessary harm to the animals we raise for food.  In addition, the current system of industrial food animal production is detrimental to rural communities.</w:t>
      </w:r>
    </w:p>
    <w:p w:rsidR="00BC0CC3" w:rsidRDefault="00BC0CC3" w:rsidP="005D7393">
      <w:pPr>
        <w:spacing w:after="0" w:line="480" w:lineRule="auto"/>
        <w:jc w:val="both"/>
        <w:rPr>
          <w:rFonts w:ascii="Times New Roman" w:hAnsi="Times New Roman" w:cs="Times New Roman"/>
          <w:sz w:val="24"/>
          <w:szCs w:val="24"/>
        </w:rPr>
      </w:pPr>
    </w:p>
    <w:p w:rsidR="005D7393" w:rsidRDefault="005D7393" w:rsidP="005D739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Commission released its full report on April 29, 2008, that included 24 primary recommendations.  The Commission was so concerned about the indiscriminate use of antibiotics in food animal production, and the potential threat to public health, that five of those recommendations deal with antibiotic use.  </w:t>
      </w:r>
      <w:r w:rsidR="00EA39C5">
        <w:rPr>
          <w:rFonts w:ascii="Times New Roman" w:hAnsi="Times New Roman" w:cs="Times New Roman"/>
          <w:sz w:val="24"/>
          <w:szCs w:val="24"/>
        </w:rPr>
        <w:t xml:space="preserve">The top two public health recommendations call for the end on the non-therapeutic use of antibiotics in food animal production and </w:t>
      </w:r>
      <w:r w:rsidR="00175AE5">
        <w:rPr>
          <w:rFonts w:ascii="Times New Roman" w:hAnsi="Times New Roman" w:cs="Times New Roman"/>
          <w:sz w:val="24"/>
          <w:szCs w:val="24"/>
        </w:rPr>
        <w:t xml:space="preserve">set </w:t>
      </w:r>
      <w:r w:rsidR="00EA39C5">
        <w:rPr>
          <w:rFonts w:ascii="Times New Roman" w:hAnsi="Times New Roman" w:cs="Times New Roman"/>
          <w:sz w:val="24"/>
          <w:szCs w:val="24"/>
        </w:rPr>
        <w:t xml:space="preserve">strict definitions for their use. </w:t>
      </w:r>
      <w:r>
        <w:rPr>
          <w:rFonts w:ascii="Times New Roman" w:hAnsi="Times New Roman" w:cs="Times New Roman"/>
          <w:sz w:val="24"/>
          <w:szCs w:val="24"/>
        </w:rPr>
        <w:t>Those recommendations follow.</w:t>
      </w:r>
    </w:p>
    <w:p w:rsidR="00BC0CC3" w:rsidRDefault="00BC0CC3" w:rsidP="005D7393">
      <w:pPr>
        <w:spacing w:after="0" w:line="480" w:lineRule="auto"/>
        <w:jc w:val="both"/>
        <w:rPr>
          <w:rFonts w:ascii="Times New Roman" w:hAnsi="Times New Roman" w:cs="Times New Roman"/>
          <w:sz w:val="24"/>
          <w:szCs w:val="24"/>
        </w:rPr>
      </w:pPr>
    </w:p>
    <w:p w:rsidR="005D7393" w:rsidRPr="00583F36" w:rsidRDefault="009F074D" w:rsidP="005D7393">
      <w:pPr>
        <w:rPr>
          <w:rFonts w:ascii="Times New Roman" w:hAnsi="Times New Roman" w:cs="Times New Roman"/>
          <w:b/>
          <w:sz w:val="24"/>
          <w:szCs w:val="24"/>
        </w:rPr>
      </w:pPr>
      <w:r w:rsidRPr="00EA39C5">
        <w:rPr>
          <w:rFonts w:ascii="Times New Roman" w:hAnsi="Times New Roman" w:cs="Times New Roman"/>
          <w:b/>
          <w:i/>
          <w:sz w:val="24"/>
          <w:szCs w:val="24"/>
        </w:rPr>
        <w:t>Recommendation #1</w:t>
      </w:r>
      <w:r>
        <w:rPr>
          <w:rFonts w:ascii="Times New Roman" w:hAnsi="Times New Roman" w:cs="Times New Roman"/>
          <w:b/>
          <w:sz w:val="24"/>
          <w:szCs w:val="24"/>
        </w:rPr>
        <w:t xml:space="preserve">  </w:t>
      </w:r>
      <w:r w:rsidR="00EA39C5">
        <w:rPr>
          <w:rFonts w:ascii="Times New Roman" w:hAnsi="Times New Roman" w:cs="Times New Roman"/>
          <w:b/>
          <w:sz w:val="24"/>
          <w:szCs w:val="24"/>
        </w:rPr>
        <w:t xml:space="preserve"> </w:t>
      </w:r>
      <w:r w:rsidR="005D7393" w:rsidRPr="00583F36">
        <w:rPr>
          <w:rFonts w:ascii="Times New Roman" w:hAnsi="Times New Roman" w:cs="Times New Roman"/>
          <w:b/>
          <w:sz w:val="24"/>
          <w:szCs w:val="24"/>
        </w:rPr>
        <w:t>Restrict the use of antimicrobials in food animal production to reduce the risk of antimicrobial resistance to medically important antibiotics.</w:t>
      </w:r>
    </w:p>
    <w:p w:rsidR="005D7393" w:rsidRPr="00BC0CC3" w:rsidRDefault="005D7393" w:rsidP="005D7393">
      <w:pPr>
        <w:numPr>
          <w:ilvl w:val="0"/>
          <w:numId w:val="1"/>
        </w:numPr>
        <w:spacing w:after="0" w:line="360" w:lineRule="auto"/>
        <w:rPr>
          <w:rFonts w:ascii="Times New Roman" w:hAnsi="Times New Roman" w:cs="Times New Roman"/>
          <w:sz w:val="24"/>
          <w:szCs w:val="24"/>
        </w:rPr>
      </w:pPr>
      <w:r w:rsidRPr="00BC0CC3">
        <w:rPr>
          <w:rFonts w:ascii="Times New Roman" w:hAnsi="Times New Roman" w:cs="Times New Roman"/>
          <w:sz w:val="24"/>
          <w:szCs w:val="24"/>
        </w:rPr>
        <w:t>Phase out and ban use of antimicrobials for non-therapeutic (i.e. growth promoting) use in food animals</w:t>
      </w:r>
      <w:r w:rsidRPr="00583F36">
        <w:rPr>
          <w:rStyle w:val="FootnoteReference"/>
          <w:rFonts w:ascii="Times New Roman" w:hAnsi="Times New Roman" w:cs="Times New Roman"/>
          <w:sz w:val="24"/>
          <w:szCs w:val="24"/>
        </w:rPr>
        <w:footnoteReference w:id="1"/>
      </w:r>
      <w:r w:rsidRPr="00BC0CC3">
        <w:rPr>
          <w:rFonts w:ascii="Times New Roman" w:hAnsi="Times New Roman" w:cs="Times New Roman"/>
          <w:sz w:val="24"/>
          <w:szCs w:val="24"/>
        </w:rPr>
        <w:t xml:space="preserve"> </w:t>
      </w:r>
      <w:r w:rsidRPr="00BC0CC3">
        <w:rPr>
          <w:rFonts w:ascii="Times New Roman" w:hAnsi="Times New Roman" w:cs="Times New Roman"/>
          <w:sz w:val="24"/>
          <w:szCs w:val="24"/>
          <w:vertAlign w:val="superscript"/>
        </w:rPr>
        <w:t>(see PCIFAP definition of “non-therapeutic”).</w:t>
      </w:r>
    </w:p>
    <w:p w:rsidR="00BC0CC3" w:rsidRPr="00BC0CC3" w:rsidRDefault="00BC0CC3" w:rsidP="00BC0CC3">
      <w:pPr>
        <w:spacing w:after="0" w:line="360" w:lineRule="auto"/>
        <w:rPr>
          <w:rFonts w:ascii="Times New Roman" w:hAnsi="Times New Roman" w:cs="Times New Roman"/>
          <w:sz w:val="24"/>
          <w:szCs w:val="24"/>
        </w:rPr>
      </w:pPr>
    </w:p>
    <w:p w:rsidR="005D7393" w:rsidRPr="00583F36" w:rsidRDefault="005D7393" w:rsidP="005D7393">
      <w:pPr>
        <w:numPr>
          <w:ilvl w:val="0"/>
          <w:numId w:val="1"/>
        </w:numPr>
        <w:spacing w:after="0" w:line="360" w:lineRule="auto"/>
        <w:rPr>
          <w:rFonts w:ascii="Times New Roman" w:hAnsi="Times New Roman" w:cs="Times New Roman"/>
          <w:sz w:val="24"/>
          <w:szCs w:val="24"/>
        </w:rPr>
      </w:pPr>
      <w:r w:rsidRPr="00583F36">
        <w:rPr>
          <w:rFonts w:ascii="Times New Roman" w:hAnsi="Times New Roman" w:cs="Times New Roman"/>
          <w:sz w:val="24"/>
          <w:szCs w:val="24"/>
        </w:rPr>
        <w:t>Immediately ban any new approvals of antimicrobials for non-therapeutic uses in food animals</w:t>
      </w:r>
      <w:r w:rsidRPr="00583F36">
        <w:rPr>
          <w:rStyle w:val="FootnoteReference"/>
          <w:rFonts w:ascii="Times New Roman" w:hAnsi="Times New Roman" w:cs="Times New Roman"/>
          <w:sz w:val="24"/>
          <w:szCs w:val="24"/>
        </w:rPr>
        <w:footnoteReference w:id="2"/>
      </w:r>
      <w:r w:rsidRPr="00583F36">
        <w:rPr>
          <w:rFonts w:ascii="Times New Roman" w:hAnsi="Times New Roman" w:cs="Times New Roman"/>
          <w:sz w:val="24"/>
          <w:szCs w:val="24"/>
        </w:rPr>
        <w:t xml:space="preserve"> and retroactively investigate antimicrobials previously approved</w:t>
      </w:r>
      <w:r w:rsidRPr="00583F36">
        <w:rPr>
          <w:rFonts w:ascii="Times New Roman" w:hAnsi="Times New Roman" w:cs="Times New Roman"/>
          <w:b/>
          <w:sz w:val="24"/>
          <w:szCs w:val="24"/>
        </w:rPr>
        <w:t xml:space="preserve">. </w:t>
      </w:r>
    </w:p>
    <w:p w:rsidR="005D7393" w:rsidRPr="00583F36" w:rsidRDefault="005D7393" w:rsidP="005D7393">
      <w:pPr>
        <w:rPr>
          <w:rFonts w:ascii="Times New Roman" w:hAnsi="Times New Roman" w:cs="Times New Roman"/>
          <w:sz w:val="24"/>
          <w:szCs w:val="24"/>
        </w:rPr>
      </w:pPr>
    </w:p>
    <w:p w:rsidR="005D7393" w:rsidRPr="00583F36" w:rsidRDefault="005D7393" w:rsidP="005D7393">
      <w:pPr>
        <w:numPr>
          <w:ilvl w:val="0"/>
          <w:numId w:val="1"/>
        </w:numPr>
        <w:spacing w:after="0" w:line="360" w:lineRule="auto"/>
        <w:rPr>
          <w:rFonts w:ascii="Times New Roman" w:hAnsi="Times New Roman" w:cs="Times New Roman"/>
          <w:sz w:val="24"/>
          <w:szCs w:val="24"/>
        </w:rPr>
      </w:pPr>
      <w:r w:rsidRPr="00583F36">
        <w:rPr>
          <w:rFonts w:ascii="Times New Roman" w:hAnsi="Times New Roman" w:cs="Times New Roman"/>
          <w:sz w:val="24"/>
          <w:szCs w:val="24"/>
        </w:rPr>
        <w:t xml:space="preserve">Strengthen recommendations in FDA Guidance #152 which requires the FDA determine that the drug is safe and effective for its intended use in the animal prior to approving an antimicrobial for a new animal drug application. </w:t>
      </w:r>
    </w:p>
    <w:p w:rsidR="005D7393" w:rsidRPr="00583F36" w:rsidRDefault="005D7393" w:rsidP="005D7393">
      <w:pPr>
        <w:rPr>
          <w:rFonts w:ascii="Times New Roman" w:hAnsi="Times New Roman" w:cs="Times New Roman"/>
          <w:sz w:val="24"/>
          <w:szCs w:val="24"/>
        </w:rPr>
      </w:pPr>
    </w:p>
    <w:p w:rsidR="005D7393" w:rsidRPr="00583F36" w:rsidRDefault="005D7393" w:rsidP="005D7393">
      <w:pPr>
        <w:numPr>
          <w:ilvl w:val="0"/>
          <w:numId w:val="1"/>
        </w:numPr>
        <w:spacing w:after="0" w:line="360" w:lineRule="auto"/>
        <w:rPr>
          <w:rFonts w:ascii="Times New Roman" w:hAnsi="Times New Roman" w:cs="Times New Roman"/>
          <w:sz w:val="24"/>
          <w:szCs w:val="24"/>
        </w:rPr>
      </w:pPr>
      <w:r w:rsidRPr="00583F36">
        <w:rPr>
          <w:rFonts w:ascii="Times New Roman" w:hAnsi="Times New Roman" w:cs="Times New Roman"/>
          <w:sz w:val="24"/>
          <w:szCs w:val="24"/>
        </w:rPr>
        <w:t>To facilitate reduction in IFAP use of antibiotics and educate producers on how to raise food animals without using non</w:t>
      </w:r>
      <w:r w:rsidR="00344CCA">
        <w:rPr>
          <w:rFonts w:ascii="Times New Roman" w:hAnsi="Times New Roman" w:cs="Times New Roman"/>
          <w:sz w:val="24"/>
          <w:szCs w:val="24"/>
        </w:rPr>
        <w:t>-</w:t>
      </w:r>
      <w:r w:rsidRPr="00583F36">
        <w:rPr>
          <w:rFonts w:ascii="Times New Roman" w:hAnsi="Times New Roman" w:cs="Times New Roman"/>
          <w:sz w:val="24"/>
          <w:szCs w:val="24"/>
        </w:rPr>
        <w:t xml:space="preserve">therapeutic antibiotics, the USDA’s extension service should be tasked to create and expand programs that teach producers the husbandry methods and best practices necessary to maintain the high level of efficiency and productivity they enjoy today. </w:t>
      </w:r>
    </w:p>
    <w:p w:rsidR="005D7393" w:rsidRPr="00583F36" w:rsidRDefault="005D7393" w:rsidP="005D7393">
      <w:pPr>
        <w:rPr>
          <w:rFonts w:ascii="Times New Roman" w:hAnsi="Times New Roman" w:cs="Times New Roman"/>
          <w:sz w:val="24"/>
          <w:szCs w:val="24"/>
        </w:rPr>
      </w:pPr>
    </w:p>
    <w:p w:rsidR="005D7393" w:rsidRPr="00583F36" w:rsidRDefault="005D7393" w:rsidP="005D7393">
      <w:pPr>
        <w:rPr>
          <w:rFonts w:ascii="Times New Roman" w:hAnsi="Times New Roman" w:cs="Times New Roman"/>
          <w:i/>
          <w:sz w:val="24"/>
          <w:szCs w:val="24"/>
        </w:rPr>
      </w:pPr>
      <w:r w:rsidRPr="00583F36">
        <w:rPr>
          <w:rFonts w:ascii="Times New Roman" w:hAnsi="Times New Roman" w:cs="Times New Roman"/>
          <w:i/>
          <w:sz w:val="24"/>
          <w:szCs w:val="24"/>
        </w:rPr>
        <w:t>Background</w:t>
      </w:r>
    </w:p>
    <w:p w:rsidR="00BC0CC3" w:rsidRPr="00583F36" w:rsidRDefault="005D7393" w:rsidP="000E4904">
      <w:pPr>
        <w:spacing w:line="480" w:lineRule="auto"/>
        <w:jc w:val="both"/>
        <w:rPr>
          <w:rFonts w:ascii="Times New Roman" w:eastAsia="MS Mincho" w:hAnsi="Times New Roman" w:cs="Times New Roman"/>
          <w:sz w:val="24"/>
          <w:szCs w:val="24"/>
        </w:rPr>
      </w:pPr>
      <w:r w:rsidRPr="00583F36">
        <w:rPr>
          <w:rFonts w:ascii="Times New Roman" w:hAnsi="Times New Roman" w:cs="Times New Roman"/>
          <w:sz w:val="24"/>
          <w:szCs w:val="24"/>
        </w:rPr>
        <w:t xml:space="preserve">In 1986 Sweden banned the use of antibiotics in food animal production except for therapeutic purposes and Denmark followed suit in 1998. A WHO (2002) report on the ban in Denmark found that “the termination of antimicrobial growth promoters in Denmark has dramatically reduced the food animal reservoir of enterococci resistant to these growth promoters, and therefore reduced a reservoir of genetic determinants (resistance genes) that encode antimicrobial resistance to several clinically important antimicrobial agents in humans.” </w:t>
      </w:r>
      <w:r w:rsidRPr="00583F36">
        <w:rPr>
          <w:rFonts w:ascii="Times New Roman" w:eastAsia="MS Mincho" w:hAnsi="Times New Roman" w:cs="Times New Roman"/>
          <w:sz w:val="24"/>
          <w:szCs w:val="24"/>
        </w:rPr>
        <w:t xml:space="preserve">The report also determined that the overall health of the animals (mainly swine) was not affected and the cost to producers was not significant. Effective January 1, 2006, the European Union also banned the use of growth-promoting antibiotics </w:t>
      </w:r>
      <w:r w:rsidR="00F1107F" w:rsidRPr="00583F36">
        <w:rPr>
          <w:rFonts w:ascii="Times New Roman" w:eastAsia="MS Mincho" w:hAnsi="Times New Roman" w:cs="Times New Roman"/>
          <w:sz w:val="24"/>
          <w:szCs w:val="24"/>
        </w:rPr>
        <w:fldChar w:fldCharType="begin"/>
      </w:r>
      <w:r w:rsidRPr="00583F36">
        <w:rPr>
          <w:rFonts w:ascii="Times New Roman" w:eastAsia="MS Mincho" w:hAnsi="Times New Roman" w:cs="Times New Roman"/>
          <w:sz w:val="24"/>
          <w:szCs w:val="24"/>
        </w:rPr>
        <w:instrText xml:space="preserve"> ADDIN EN.CITE &lt;EndNote&gt;&lt;Cite&gt;&lt;Author&gt;Meatnews.com&lt;/Author&gt;&lt;Year&gt;2005&lt;/Year&gt;&lt;RecNum&gt;164&lt;/RecNum&gt;&lt;record&gt;&lt;rec-number&gt;164&lt;/rec-number&gt;&lt;foreign-keys&gt;&lt;key app="EN" db-id="xfrzetatnzrr2jeprww5ax2uae9zxx092x2e"&gt;164&lt;/key&gt;&lt;/foreign-keys&gt;&lt;ref-type name="Online Multimedia"&gt;48&lt;/ref-type&gt;&lt;contributors&gt;&lt;authors&gt;&lt;author&gt;Meatnews.com&lt;/author&gt;&lt;/authors&gt;&lt;/contributors&gt;&lt;titles&gt;&lt;title&gt;Europe Bans Antibiotic Growth Promoters&lt;/title&gt;&lt;/titles&gt;&lt;dates&gt;&lt;year&gt;2005&lt;/year&gt;&lt;pub-dates&gt;&lt;date&gt;March 6, 2007&lt;/date&gt;&lt;/pub-dates&gt;&lt;/dates&gt;&lt;urls&gt;&lt;related-urls&gt;&lt;url&gt;http://www.meatnews.com/index.cfm?fuseaction=Article&amp;amp;artNum=10827&lt;/url&gt;&lt;/related-urls&gt;&lt;/urls&gt;&lt;/record&gt;&lt;/Cite&gt;&lt;/EndNote&gt;</w:instrText>
      </w:r>
      <w:r w:rsidR="00F1107F" w:rsidRPr="00583F36">
        <w:rPr>
          <w:rFonts w:ascii="Times New Roman" w:eastAsia="MS Mincho" w:hAnsi="Times New Roman" w:cs="Times New Roman"/>
          <w:sz w:val="24"/>
          <w:szCs w:val="24"/>
        </w:rPr>
        <w:fldChar w:fldCharType="separate"/>
      </w:r>
      <w:r w:rsidRPr="00583F36">
        <w:rPr>
          <w:rFonts w:ascii="Times New Roman" w:eastAsia="MS Mincho" w:hAnsi="Times New Roman" w:cs="Times New Roman"/>
          <w:sz w:val="24"/>
          <w:szCs w:val="24"/>
        </w:rPr>
        <w:t>(Meatnews.com, 2005)</w:t>
      </w:r>
      <w:r w:rsidR="00F1107F" w:rsidRPr="00583F36">
        <w:rPr>
          <w:rFonts w:ascii="Times New Roman" w:eastAsia="MS Mincho" w:hAnsi="Times New Roman" w:cs="Times New Roman"/>
          <w:sz w:val="24"/>
          <w:szCs w:val="24"/>
        </w:rPr>
        <w:fldChar w:fldCharType="end"/>
      </w:r>
      <w:r w:rsidRPr="00583F36">
        <w:rPr>
          <w:rFonts w:ascii="Times New Roman" w:eastAsia="MS Mincho" w:hAnsi="Times New Roman" w:cs="Times New Roman"/>
          <w:sz w:val="24"/>
          <w:szCs w:val="24"/>
        </w:rPr>
        <w:t xml:space="preserve">. </w:t>
      </w:r>
    </w:p>
    <w:p w:rsidR="00175AE5" w:rsidRPr="00583F36" w:rsidRDefault="005D7393" w:rsidP="000E4904">
      <w:pPr>
        <w:spacing w:line="480" w:lineRule="auto"/>
        <w:jc w:val="both"/>
        <w:rPr>
          <w:rFonts w:ascii="Times New Roman" w:hAnsi="Times New Roman" w:cs="Times New Roman"/>
          <w:sz w:val="24"/>
          <w:szCs w:val="24"/>
        </w:rPr>
      </w:pPr>
      <w:r w:rsidRPr="00583F36">
        <w:rPr>
          <w:rFonts w:ascii="Times New Roman" w:eastAsia="MS Mincho" w:hAnsi="Times New Roman" w:cs="Times New Roman"/>
          <w:sz w:val="24"/>
          <w:szCs w:val="24"/>
        </w:rPr>
        <w:lastRenderedPageBreak/>
        <w:t>I</w:t>
      </w:r>
      <w:r w:rsidRPr="00583F36">
        <w:rPr>
          <w:rFonts w:ascii="Times New Roman" w:hAnsi="Times New Roman" w:cs="Times New Roman"/>
          <w:sz w:val="24"/>
          <w:szCs w:val="24"/>
        </w:rPr>
        <w:t xml:space="preserve">n 1998, the National Academy of Sciences (NAS) Institute of Medicine (IOM) noted that antibiotic-resistant bacteria increase U.S. health care costs by a minimum of $4 billion to $5 billion annually </w:t>
      </w:r>
      <w:r w:rsidR="00F1107F" w:rsidRPr="00583F36">
        <w:rPr>
          <w:rFonts w:ascii="Times New Roman" w:hAnsi="Times New Roman" w:cs="Times New Roman"/>
          <w:sz w:val="24"/>
          <w:szCs w:val="24"/>
        </w:rPr>
        <w:fldChar w:fldCharType="begin"/>
      </w:r>
      <w:r w:rsidRPr="00583F36">
        <w:rPr>
          <w:rFonts w:ascii="Times New Roman" w:hAnsi="Times New Roman" w:cs="Times New Roman"/>
          <w:sz w:val="24"/>
          <w:szCs w:val="24"/>
        </w:rPr>
        <w:instrText xml:space="preserve"> ADDIN EN.CITE &lt;EndNote&gt;&lt;Cite&gt;&lt;Author&gt;IOM&lt;/Author&gt;&lt;Year&gt;1998&lt;/Year&gt;&lt;RecNum&gt;10&lt;/RecNum&gt;&lt;record&gt;&lt;rec-number&gt;10&lt;/rec-number&gt;&lt;foreign-keys&gt;&lt;key app="EN" db-id="fx09wt52bdaprwevv90v9r02x0d55tw2vdtr"&gt;10&lt;/key&gt;&lt;/foreign-keys&gt;&lt;ref-type name="Report"&gt;27&lt;/ref-type&gt;&lt;contributors&gt;&lt;authors&gt;&lt;author&gt;IOM&lt;/author&gt;&lt;/authors&gt;&lt;/contributors&gt;&lt;titles&gt;&lt;title&gt;Antimicrobial drug resistance: Issues and Options.&lt;/title&gt;&lt;/titles&gt;&lt;dates&gt;&lt;year&gt;1998&lt;/year&gt;&lt;pub-dates&gt;&lt;date&gt;1998&lt;/date&gt;&lt;/pub-dates&gt;&lt;/dates&gt;&lt;pub-location&gt;Washington&lt;/pub-location&gt;&lt;publisher&gt;National Academy Press&lt;/publisher&gt;&lt;urls&gt;&lt;/urls&gt;&lt;/record&gt;&lt;/Cite&gt;&lt;/EndNote&gt;</w:instrText>
      </w:r>
      <w:r w:rsidR="00F1107F" w:rsidRPr="00583F36">
        <w:rPr>
          <w:rFonts w:ascii="Times New Roman" w:hAnsi="Times New Roman" w:cs="Times New Roman"/>
          <w:sz w:val="24"/>
          <w:szCs w:val="24"/>
        </w:rPr>
        <w:fldChar w:fldCharType="separate"/>
      </w:r>
      <w:r w:rsidRPr="00583F36">
        <w:rPr>
          <w:rFonts w:ascii="Times New Roman" w:hAnsi="Times New Roman" w:cs="Times New Roman"/>
          <w:sz w:val="24"/>
          <w:szCs w:val="24"/>
        </w:rPr>
        <w:t>(IOM, 1998)</w:t>
      </w:r>
      <w:r w:rsidR="00F1107F" w:rsidRPr="00583F36">
        <w:rPr>
          <w:rFonts w:ascii="Times New Roman" w:hAnsi="Times New Roman" w:cs="Times New Roman"/>
          <w:sz w:val="24"/>
          <w:szCs w:val="24"/>
        </w:rPr>
        <w:fldChar w:fldCharType="end"/>
      </w:r>
      <w:r w:rsidRPr="00583F36">
        <w:rPr>
          <w:rFonts w:ascii="Times New Roman" w:hAnsi="Times New Roman" w:cs="Times New Roman"/>
          <w:sz w:val="24"/>
          <w:szCs w:val="24"/>
        </w:rPr>
        <w:t xml:space="preserve">. A year later, the NAS estimated that eliminating the use of antimicrobials as feed additives would cost each American consumer less than $5 to $10 per year, significantly less than the additional health care costs attributable to antimicrobial resistance </w:t>
      </w:r>
      <w:r w:rsidR="00F1107F" w:rsidRPr="00583F36">
        <w:rPr>
          <w:rFonts w:ascii="Times New Roman" w:hAnsi="Times New Roman" w:cs="Times New Roman"/>
          <w:sz w:val="24"/>
          <w:szCs w:val="24"/>
        </w:rPr>
        <w:fldChar w:fldCharType="begin"/>
      </w:r>
      <w:r w:rsidRPr="00583F36">
        <w:rPr>
          <w:rFonts w:ascii="Times New Roman" w:hAnsi="Times New Roman" w:cs="Times New Roman"/>
          <w:sz w:val="24"/>
          <w:szCs w:val="24"/>
        </w:rPr>
        <w:instrText xml:space="preserve"> ADDIN EN.CITE &lt;EndNote&gt;&lt;Cite&gt;&lt;Author&gt;NAS&lt;/Author&gt;&lt;Year&gt;1999&lt;/Year&gt;&lt;RecNum&gt;191&lt;/RecNum&gt;&lt;record&gt;&lt;rec-number&gt;191&lt;/rec-number&gt;&lt;foreign-keys&gt;&lt;key app="EN" db-id="xfrzetatnzrr2jeprww5ax2uae9zxx092x2e"&gt;191&lt;/key&gt;&lt;/foreign-keys&gt;&lt;ref-type name="Book"&gt;6&lt;/ref-type&gt;&lt;contributors&gt;&lt;authors&gt;&lt;author&gt;NAS&lt;/author&gt;&lt;/authors&gt;&lt;secondary-authors&gt;&lt;author&gt;Institute of Medicine (IOM)&lt;/author&gt;&lt;/secondary-authors&gt;&lt;/contributors&gt;&lt;titles&gt;&lt;title&gt;The Use of Drugs in Food Animals: Benefits and Risks&lt;/title&gt;&lt;secondary-title&gt;Committee on Drug Use in Food Animals&amp;#xD;Panel on Animal Health, Food Safety, and Public Health&amp;#xD;Board on Agriculture&amp;#xD;National Research Council (NRC)&amp;#xD;Food and Nutrition Board&lt;/secondary-title&gt;&lt;/titles&gt;&lt;dates&gt;&lt;year&gt;1999&lt;/year&gt;&lt;/dates&gt;&lt;pub-location&gt;Washington, DC&lt;/pub-location&gt;&lt;publisher&gt;National Academies Press&lt;/publisher&gt;&lt;urls&gt;&lt;related-urls&gt;&lt;url&gt;&lt;style face="underline" font="default" size="100%"&gt;http://www.nap.edu/books/0309054346/html/18.htm&lt;/style&gt;&lt;/url&gt;&lt;/related-urls&gt;&lt;/urls&gt;&lt;/record&gt;&lt;/Cite&gt;&lt;/EndNote&gt;</w:instrText>
      </w:r>
      <w:r w:rsidR="00F1107F" w:rsidRPr="00583F36">
        <w:rPr>
          <w:rFonts w:ascii="Times New Roman" w:hAnsi="Times New Roman" w:cs="Times New Roman"/>
          <w:sz w:val="24"/>
          <w:szCs w:val="24"/>
        </w:rPr>
        <w:fldChar w:fldCharType="separate"/>
      </w:r>
      <w:r w:rsidRPr="00583F36">
        <w:rPr>
          <w:rFonts w:ascii="Times New Roman" w:hAnsi="Times New Roman" w:cs="Times New Roman"/>
          <w:sz w:val="24"/>
          <w:szCs w:val="24"/>
        </w:rPr>
        <w:t>(NAS, 1999)</w:t>
      </w:r>
      <w:r w:rsidR="00F1107F" w:rsidRPr="00583F36">
        <w:rPr>
          <w:rFonts w:ascii="Times New Roman" w:hAnsi="Times New Roman" w:cs="Times New Roman"/>
          <w:sz w:val="24"/>
          <w:szCs w:val="24"/>
        </w:rPr>
        <w:fldChar w:fldCharType="end"/>
      </w:r>
      <w:r w:rsidRPr="00583F36">
        <w:rPr>
          <w:rFonts w:ascii="Times New Roman" w:hAnsi="Times New Roman" w:cs="Times New Roman"/>
          <w:sz w:val="24"/>
          <w:szCs w:val="24"/>
        </w:rPr>
        <w:t xml:space="preserve">. </w:t>
      </w:r>
      <w:r w:rsidR="00175AE5">
        <w:rPr>
          <w:rFonts w:ascii="Times New Roman" w:hAnsi="Times New Roman" w:cs="Times New Roman"/>
          <w:sz w:val="24"/>
          <w:szCs w:val="24"/>
        </w:rPr>
        <w:t xml:space="preserve">In 2005, Tufts University estimated that antibiotic resistant infections added $50 billion annually to the cost of health care in the United States. </w:t>
      </w:r>
      <w:r w:rsidRPr="00583F36">
        <w:rPr>
          <w:rFonts w:ascii="Times New Roman" w:hAnsi="Times New Roman" w:cs="Times New Roman"/>
          <w:sz w:val="24"/>
          <w:szCs w:val="24"/>
        </w:rPr>
        <w:t xml:space="preserve">In a 2007 analysis of the literature, another study found that a hospital stay was $6,000 to $10,000 more expensive for a person infected with a resistant bacterium as opposed to an antibiotic-susceptible infection </w:t>
      </w:r>
      <w:r w:rsidR="00F1107F" w:rsidRPr="00583F36">
        <w:rPr>
          <w:rFonts w:ascii="Times New Roman" w:hAnsi="Times New Roman" w:cs="Times New Roman"/>
          <w:sz w:val="24"/>
          <w:szCs w:val="24"/>
        </w:rPr>
        <w:fldChar w:fldCharType="begin"/>
      </w:r>
      <w:r w:rsidRPr="00583F36">
        <w:rPr>
          <w:rFonts w:ascii="Times New Roman" w:hAnsi="Times New Roman" w:cs="Times New Roman"/>
          <w:sz w:val="24"/>
          <w:szCs w:val="24"/>
        </w:rPr>
        <w:instrText xml:space="preserve"> ADDIN EN.CITE &lt;EndNote&gt;&lt;Cite&gt;&lt;Author&gt;Cosgrove&lt;/Author&gt;&lt;Year&gt;2005&lt;/Year&gt;&lt;RecNum&gt;162&lt;/RecNum&gt;&lt;record&gt;&lt;rec-number&gt;162&lt;/rec-number&gt;&lt;foreign-keys&gt;&lt;key app="EN" db-id="xfrzetatnzrr2jeprww5ax2uae9zxx092x2e"&gt;162&lt;/key&gt;&lt;/foreign-keys&gt;&lt;ref-type name="Journal Article"&gt;17&lt;/ref-type&gt;&lt;contributors&gt;&lt;authors&gt;&lt;author&gt;Cosgrove, S. E.&lt;/author&gt;&lt;author&gt;Qi, Y.&lt;/author&gt;&lt;author&gt;Kaye, K. S.&lt;/author&gt;&lt;author&gt;Harbarth, S.&lt;/author&gt;&lt;author&gt;Karchmer, A. W.&lt;/author&gt;&lt;author&gt;Carmeli, Y.&lt;/author&gt;&lt;/authors&gt;&lt;/contributors&gt;&lt;auth-address&gt;Division of Infectious Diseases, Johns Hopkins Medical Institutions, The Johns Hopkins Hospital, Baltimore, Maryland 21287, USA. scosgro1@jhmi.edu&lt;/auth-address&gt;&lt;titles&gt;&lt;title&gt;The impact of methicillin resistance in Staphylococcus aureus bacteremia on patient outcomes: mortality, length of stay, and hospital charges&lt;/title&gt;&lt;secondary-title&gt;Infect Control Hosp Epidemiol&lt;/secondary-title&gt;&lt;/titles&gt;&lt;periodical&gt;&lt;full-title&gt;Infect Control Hosp Epidemiol&lt;/full-title&gt;&lt;/periodical&gt;&lt;pages&gt;166-74&lt;/pages&gt;&lt;volume&gt;26&lt;/volume&gt;&lt;number&gt;2&lt;/number&gt;&lt;keywords&gt;&lt;keyword&gt;Aged&lt;/keyword&gt;&lt;keyword&gt;Boston/epidemiology&lt;/keyword&gt;&lt;keyword&gt;Comorbidity&lt;/keyword&gt;&lt;keyword&gt;Cross Infection/classification/etiology/*mortality&lt;/keyword&gt;&lt;keyword&gt;Female&lt;/keyword&gt;&lt;keyword&gt;*Hospital Mortality&lt;/keyword&gt;&lt;keyword&gt;Hospitalization/*economics&lt;/keyword&gt;&lt;keyword&gt;Humans&lt;/keyword&gt;&lt;keyword&gt;*Length of Stay&lt;/keyword&gt;&lt;keyword&gt;Male&lt;/keyword&gt;&lt;keyword&gt;*Methicillin Resistance&lt;/keyword&gt;&lt;keyword&gt;Middle Aged&lt;/keyword&gt;&lt;keyword&gt;Severity of Illness Index&lt;/keyword&gt;&lt;keyword&gt;Staphylococcal Infections/classification/etiology/*mortality&lt;/keyword&gt;&lt;keyword&gt;Staphylococcus aureus/*isolation &amp;amp; purification&lt;/keyword&gt;&lt;keyword&gt;Treatment Outcome&lt;/keyword&gt;&lt;/keywords&gt;&lt;dates&gt;&lt;year&gt;2005&lt;/year&gt;&lt;pub-dates&gt;&lt;date&gt;Feb&lt;/date&gt;&lt;/pub-dates&gt;&lt;/dates&gt;&lt;accession-num&gt;15756888&lt;/accession-num&gt;&lt;urls&gt;&lt;related-urls&gt;&lt;url&gt;http://www.ncbi.nlm.nih.gov/entrez/query.fcgi?cmd=Retrieve&amp;amp;db=PubMed&amp;amp;dopt=Citation&amp;amp;list_uids=15756888 &lt;/url&gt;&lt;/related-urls&gt;&lt;/urls&gt;&lt;/record&gt;&lt;/Cite&gt;&lt;/EndNote&gt;</w:instrText>
      </w:r>
      <w:r w:rsidR="00F1107F" w:rsidRPr="00583F36">
        <w:rPr>
          <w:rFonts w:ascii="Times New Roman" w:hAnsi="Times New Roman" w:cs="Times New Roman"/>
          <w:sz w:val="24"/>
          <w:szCs w:val="24"/>
        </w:rPr>
        <w:fldChar w:fldCharType="separate"/>
      </w:r>
      <w:r w:rsidRPr="00583F36">
        <w:rPr>
          <w:rFonts w:ascii="Times New Roman" w:hAnsi="Times New Roman" w:cs="Times New Roman"/>
          <w:sz w:val="24"/>
          <w:szCs w:val="24"/>
        </w:rPr>
        <w:t>(Cosgrove</w:t>
      </w:r>
      <w:r w:rsidRPr="00583F36">
        <w:rPr>
          <w:rFonts w:ascii="Times New Roman" w:hAnsi="Times New Roman" w:cs="Times New Roman"/>
          <w:i/>
          <w:sz w:val="24"/>
          <w:szCs w:val="24"/>
        </w:rPr>
        <w:t xml:space="preserve"> et al</w:t>
      </w:r>
      <w:r w:rsidRPr="00583F36">
        <w:rPr>
          <w:rFonts w:ascii="Times New Roman" w:hAnsi="Times New Roman" w:cs="Times New Roman"/>
          <w:sz w:val="24"/>
          <w:szCs w:val="24"/>
        </w:rPr>
        <w:t>, 2005)</w:t>
      </w:r>
      <w:r w:rsidR="00F1107F" w:rsidRPr="00583F36">
        <w:rPr>
          <w:rFonts w:ascii="Times New Roman" w:hAnsi="Times New Roman" w:cs="Times New Roman"/>
          <w:sz w:val="24"/>
          <w:szCs w:val="24"/>
        </w:rPr>
        <w:fldChar w:fldCharType="end"/>
      </w:r>
      <w:r w:rsidRPr="00583F36">
        <w:rPr>
          <w:rFonts w:ascii="Times New Roman" w:hAnsi="Times New Roman" w:cs="Times New Roman"/>
          <w:sz w:val="24"/>
          <w:szCs w:val="24"/>
        </w:rPr>
        <w:t>. The American Medical Association, American Public Health Association, National Association of County and City Health Officials, and National Campaign for Sustainable Agriculture are among the more than 300 organizations representing health, consumer, agricultural, environmental, humane, and other interests supporting enactment of legislation to phase out non</w:t>
      </w:r>
      <w:r w:rsidR="00344CCA">
        <w:rPr>
          <w:rFonts w:ascii="Times New Roman" w:hAnsi="Times New Roman" w:cs="Times New Roman"/>
          <w:sz w:val="24"/>
          <w:szCs w:val="24"/>
        </w:rPr>
        <w:t>-</w:t>
      </w:r>
      <w:r w:rsidRPr="00583F36">
        <w:rPr>
          <w:rFonts w:ascii="Times New Roman" w:hAnsi="Times New Roman" w:cs="Times New Roman"/>
          <w:sz w:val="24"/>
          <w:szCs w:val="24"/>
        </w:rPr>
        <w:t xml:space="preserve">therapeutic use in farm animals of medically important antibiotics and calling for an immediate ban on antibiotics vital to human health. </w:t>
      </w:r>
    </w:p>
    <w:p w:rsidR="00BA7135" w:rsidRDefault="00BA7135" w:rsidP="000E4904">
      <w:pPr>
        <w:spacing w:line="480" w:lineRule="auto"/>
        <w:jc w:val="both"/>
        <w:rPr>
          <w:rFonts w:ascii="Times New Roman" w:hAnsi="Times New Roman" w:cs="Times New Roman"/>
          <w:sz w:val="24"/>
          <w:szCs w:val="24"/>
        </w:rPr>
      </w:pPr>
    </w:p>
    <w:p w:rsidR="005D7393" w:rsidRDefault="005D7393" w:rsidP="000E4904">
      <w:pPr>
        <w:spacing w:line="480" w:lineRule="auto"/>
        <w:jc w:val="both"/>
        <w:rPr>
          <w:rFonts w:ascii="Times New Roman" w:hAnsi="Times New Roman" w:cs="Times New Roman"/>
          <w:sz w:val="24"/>
          <w:szCs w:val="24"/>
        </w:rPr>
      </w:pPr>
      <w:r w:rsidRPr="00583F36">
        <w:rPr>
          <w:rFonts w:ascii="Times New Roman" w:hAnsi="Times New Roman" w:cs="Times New Roman"/>
          <w:sz w:val="24"/>
          <w:szCs w:val="24"/>
        </w:rPr>
        <w:t>The Preservation of Antibiotics for Medical Treatment Act of 200</w:t>
      </w:r>
      <w:r w:rsidR="009F074D">
        <w:rPr>
          <w:rFonts w:ascii="Times New Roman" w:hAnsi="Times New Roman" w:cs="Times New Roman"/>
          <w:sz w:val="24"/>
          <w:szCs w:val="24"/>
        </w:rPr>
        <w:t>9</w:t>
      </w:r>
      <w:r w:rsidRPr="00583F36">
        <w:rPr>
          <w:rFonts w:ascii="Times New Roman" w:hAnsi="Times New Roman" w:cs="Times New Roman"/>
          <w:sz w:val="24"/>
          <w:szCs w:val="24"/>
        </w:rPr>
        <w:t xml:space="preserve"> (PAMTA) amends the Federal Food, Drug, and Cosmetic Act to withdraw approvals for feed-additive use of seven specific classes of antibiotics</w:t>
      </w:r>
      <w:r w:rsidRPr="00583F36">
        <w:rPr>
          <w:rStyle w:val="FootnoteReference"/>
          <w:rFonts w:ascii="Times New Roman" w:hAnsi="Times New Roman" w:cs="Times New Roman"/>
          <w:sz w:val="24"/>
          <w:szCs w:val="24"/>
        </w:rPr>
        <w:footnoteReference w:id="3"/>
      </w:r>
      <w:r w:rsidRPr="00583F36">
        <w:rPr>
          <w:rFonts w:ascii="Times New Roman" w:hAnsi="Times New Roman" w:cs="Times New Roman"/>
          <w:sz w:val="24"/>
          <w:szCs w:val="24"/>
        </w:rPr>
        <w:t xml:space="preserve">—penicillins, tetracyclines, macrolides, lincosamides, streptogramins, aminoglycosides, and sulfonamides—each of which contains antibiotics also used in human medicine </w:t>
      </w:r>
      <w:r w:rsidR="00F1107F" w:rsidRPr="00583F36">
        <w:rPr>
          <w:rFonts w:ascii="Times New Roman" w:hAnsi="Times New Roman" w:cs="Times New Roman"/>
          <w:sz w:val="24"/>
          <w:szCs w:val="24"/>
        </w:rPr>
        <w:fldChar w:fldCharType="begin"/>
      </w:r>
      <w:r w:rsidRPr="00583F36">
        <w:rPr>
          <w:rFonts w:ascii="Times New Roman" w:hAnsi="Times New Roman" w:cs="Times New Roman"/>
          <w:sz w:val="24"/>
          <w:szCs w:val="24"/>
        </w:rPr>
        <w:instrText xml:space="preserve"> ADDIN EN.CITE &lt;EndNote&gt;&lt;Cite&gt;&lt;Year&gt;2007&lt;/Year&gt;&lt;RecNum&gt;151&lt;/RecNum&gt;&lt;record&gt;&lt;rec-number&gt;151&lt;/rec-number&gt;&lt;foreign-keys&gt;&lt;key app="EN" db-id="fx09wt52bdaprwevv90v9r02x0d55tw2vdtr"&gt;151&lt;/key&gt;&lt;/foreign-keys&gt;&lt;ref-type name="Bill"&gt;4&lt;/ref-type&gt;&lt;contributors&gt;&lt;subsidiary-authors&gt;&lt;author&gt;Edward Kennedy&lt;/author&gt;&lt;/subsidiary-authors&gt;&lt;/contributors&gt;&lt;titles&gt;&lt;title&gt;Preservation of Antibiotics for Medical Treatment Act&lt;/title&gt;&lt;tertiary-title&gt;110th Congress, Senate of the United States&lt;/tertiary-title&gt;&lt;short-title&gt;PAMTA&lt;/short-title&gt;&lt;/titles&gt;&lt;number&gt;S.549/HR.962&lt;/number&gt;&lt;edition&gt;1st&lt;/edition&gt;&lt;dates&gt;&lt;year&gt;2007&lt;/year&gt;&lt;pub-dates&gt;&lt;date&gt;February 12, 2007&lt;/date&gt;&lt;/pub-dates&gt;&lt;/dates&gt;&lt;accession-num&gt;S.549&lt;/accession-num&gt;&lt;urls&gt;&lt;/urls&gt;&lt;/record&gt;&lt;/Cite&gt;&lt;/EndNote&gt;</w:instrText>
      </w:r>
      <w:r w:rsidR="00F1107F" w:rsidRPr="00583F36">
        <w:rPr>
          <w:rFonts w:ascii="Times New Roman" w:hAnsi="Times New Roman" w:cs="Times New Roman"/>
          <w:sz w:val="24"/>
          <w:szCs w:val="24"/>
        </w:rPr>
        <w:fldChar w:fldCharType="separate"/>
      </w:r>
      <w:r w:rsidRPr="00583F36">
        <w:rPr>
          <w:rFonts w:ascii="Times New Roman" w:hAnsi="Times New Roman" w:cs="Times New Roman"/>
          <w:sz w:val="24"/>
          <w:szCs w:val="24"/>
        </w:rPr>
        <w:t>(200</w:t>
      </w:r>
      <w:r w:rsidR="009E459B">
        <w:rPr>
          <w:rFonts w:ascii="Times New Roman" w:hAnsi="Times New Roman" w:cs="Times New Roman"/>
          <w:sz w:val="24"/>
          <w:szCs w:val="24"/>
        </w:rPr>
        <w:t>9</w:t>
      </w:r>
      <w:r w:rsidRPr="00583F36">
        <w:rPr>
          <w:rFonts w:ascii="Times New Roman" w:hAnsi="Times New Roman" w:cs="Times New Roman"/>
          <w:sz w:val="24"/>
          <w:szCs w:val="24"/>
        </w:rPr>
        <w:t>a)</w:t>
      </w:r>
      <w:r w:rsidR="00F1107F" w:rsidRPr="00583F36">
        <w:rPr>
          <w:rFonts w:ascii="Times New Roman" w:hAnsi="Times New Roman" w:cs="Times New Roman"/>
          <w:sz w:val="24"/>
          <w:szCs w:val="24"/>
        </w:rPr>
        <w:fldChar w:fldCharType="end"/>
      </w:r>
      <w:r w:rsidR="008973D2">
        <w:rPr>
          <w:rFonts w:ascii="Times New Roman" w:hAnsi="Times New Roman" w:cs="Times New Roman"/>
          <w:sz w:val="24"/>
          <w:szCs w:val="24"/>
        </w:rPr>
        <w:t xml:space="preserve">. </w:t>
      </w:r>
      <w:r w:rsidRPr="00583F36">
        <w:rPr>
          <w:rFonts w:ascii="Times New Roman" w:hAnsi="Times New Roman" w:cs="Times New Roman"/>
          <w:sz w:val="24"/>
          <w:szCs w:val="24"/>
        </w:rPr>
        <w:t xml:space="preserve">PAMTA provides for the automatic and immediate restriction of any other antibiotic used only in animals if the drug becomes important in human medicine, unless FDA determines that such use will not contribute to the development of resistance in </w:t>
      </w:r>
      <w:r w:rsidRPr="00583F36">
        <w:rPr>
          <w:rFonts w:ascii="Times New Roman" w:hAnsi="Times New Roman" w:cs="Times New Roman"/>
          <w:sz w:val="24"/>
          <w:szCs w:val="24"/>
        </w:rPr>
        <w:lastRenderedPageBreak/>
        <w:t xml:space="preserve">microbes that have the potential to affect humans. FDA Guidance #152 defines an antibiotic as potentially important in human medicine if FDA issues an Investigational New Drug determination or receives a New Drug Application for the compound </w:t>
      </w:r>
      <w:r w:rsidR="00F1107F" w:rsidRPr="00583F36">
        <w:rPr>
          <w:rFonts w:ascii="Times New Roman" w:hAnsi="Times New Roman" w:cs="Times New Roman"/>
          <w:sz w:val="24"/>
          <w:szCs w:val="24"/>
        </w:rPr>
        <w:fldChar w:fldCharType="begin"/>
      </w:r>
      <w:r w:rsidRPr="00583F36">
        <w:rPr>
          <w:rFonts w:ascii="Times New Roman" w:hAnsi="Times New Roman" w:cs="Times New Roman"/>
          <w:sz w:val="24"/>
          <w:szCs w:val="24"/>
        </w:rPr>
        <w:instrText xml:space="preserve"> ADDIN EN.CITE &lt;EndNote&gt;&lt;Cite&gt;&lt;Year&gt;2007&lt;/Year&gt;&lt;RecNum&gt;169&lt;/RecNum&gt;&lt;record&gt;&lt;rec-number&gt;169&lt;/rec-number&gt;&lt;foreign-keys&gt;&lt;key app="EN" db-id="xfrzetatnzrr2jeprww5ax2uae9zxx092x2e"&gt;169&lt;/key&gt;&lt;/foreign-keys&gt;&lt;ref-type name="Bill"&gt;4&lt;/ref-type&gt;&lt;contributors&gt;&lt;subsidiary-authors&gt;&lt;author&gt;Edward Kennedy&lt;/author&gt;&lt;/subsidiary-authors&gt;&lt;/contributors&gt;&lt;titles&gt;&lt;title&gt;Preservation of Antibiotics for Medical Treatment Act&lt;/title&gt;&lt;tertiary-title&gt;110th Congress, Senate of the United States&lt;/tertiary-title&gt;&lt;short-title&gt;PAMTA&lt;/short-title&gt;&lt;/titles&gt;&lt;number&gt;S.549/HR.962&lt;/number&gt;&lt;edition&gt;1st&lt;/edition&gt;&lt;dates&gt;&lt;year&gt;2007&lt;/year&gt;&lt;pub-dates&gt;&lt;date&gt;February 12, 2007&lt;/date&gt;&lt;/pub-dates&gt;&lt;/dates&gt;&lt;accession-num&gt;S.549&lt;/accession-num&gt;&lt;urls&gt;&lt;/urls&gt;&lt;/record&gt;&lt;/Cite&gt;&lt;/EndNote&gt;</w:instrText>
      </w:r>
      <w:r w:rsidR="00F1107F" w:rsidRPr="00583F36">
        <w:rPr>
          <w:rFonts w:ascii="Times New Roman" w:hAnsi="Times New Roman" w:cs="Times New Roman"/>
          <w:sz w:val="24"/>
          <w:szCs w:val="24"/>
        </w:rPr>
        <w:fldChar w:fldCharType="separate"/>
      </w:r>
      <w:r w:rsidRPr="00583F36">
        <w:rPr>
          <w:rFonts w:ascii="Times New Roman" w:hAnsi="Times New Roman" w:cs="Times New Roman"/>
          <w:sz w:val="24"/>
          <w:szCs w:val="24"/>
        </w:rPr>
        <w:t>(200</w:t>
      </w:r>
      <w:r w:rsidR="000E4904">
        <w:rPr>
          <w:rFonts w:ascii="Times New Roman" w:hAnsi="Times New Roman" w:cs="Times New Roman"/>
          <w:sz w:val="24"/>
          <w:szCs w:val="24"/>
        </w:rPr>
        <w:t>9</w:t>
      </w:r>
      <w:r w:rsidRPr="00583F36">
        <w:rPr>
          <w:rFonts w:ascii="Times New Roman" w:hAnsi="Times New Roman" w:cs="Times New Roman"/>
          <w:sz w:val="24"/>
          <w:szCs w:val="24"/>
        </w:rPr>
        <w:t>a)</w:t>
      </w:r>
      <w:r w:rsidR="00F1107F" w:rsidRPr="00583F36">
        <w:rPr>
          <w:rFonts w:ascii="Times New Roman" w:hAnsi="Times New Roman" w:cs="Times New Roman"/>
          <w:sz w:val="24"/>
          <w:szCs w:val="24"/>
        </w:rPr>
        <w:fldChar w:fldCharType="end"/>
      </w:r>
      <w:r w:rsidRPr="00583F36">
        <w:rPr>
          <w:rFonts w:ascii="Times New Roman" w:hAnsi="Times New Roman" w:cs="Times New Roman"/>
          <w:sz w:val="24"/>
          <w:szCs w:val="24"/>
        </w:rPr>
        <w:t>.</w:t>
      </w:r>
    </w:p>
    <w:p w:rsidR="00152B1E" w:rsidRPr="00583F36" w:rsidRDefault="00152B1E" w:rsidP="000E4904">
      <w:pPr>
        <w:spacing w:line="480" w:lineRule="auto"/>
        <w:jc w:val="both"/>
        <w:rPr>
          <w:rFonts w:ascii="Times New Roman" w:hAnsi="Times New Roman" w:cs="Times New Roman"/>
          <w:sz w:val="24"/>
          <w:szCs w:val="24"/>
        </w:rPr>
      </w:pPr>
    </w:p>
    <w:p w:rsidR="005D7393" w:rsidRDefault="005D7393" w:rsidP="000E4904">
      <w:pPr>
        <w:spacing w:line="480" w:lineRule="auto"/>
        <w:jc w:val="both"/>
        <w:rPr>
          <w:rFonts w:ascii="Times New Roman" w:hAnsi="Times New Roman" w:cs="Times New Roman"/>
          <w:sz w:val="24"/>
          <w:szCs w:val="24"/>
        </w:rPr>
      </w:pPr>
      <w:r w:rsidRPr="00583F36">
        <w:rPr>
          <w:rFonts w:ascii="Times New Roman" w:hAnsi="Times New Roman" w:cs="Times New Roman"/>
          <w:sz w:val="24"/>
          <w:szCs w:val="24"/>
        </w:rPr>
        <w:t>Most antibiotics currently used in animal production systems for non</w:t>
      </w:r>
      <w:r w:rsidR="00344CCA">
        <w:rPr>
          <w:rFonts w:ascii="Times New Roman" w:hAnsi="Times New Roman" w:cs="Times New Roman"/>
          <w:sz w:val="24"/>
          <w:szCs w:val="24"/>
        </w:rPr>
        <w:t>-</w:t>
      </w:r>
      <w:r w:rsidRPr="00583F36">
        <w:rPr>
          <w:rFonts w:ascii="Times New Roman" w:hAnsi="Times New Roman" w:cs="Times New Roman"/>
          <w:sz w:val="24"/>
          <w:szCs w:val="24"/>
        </w:rPr>
        <w:t xml:space="preserve">therapeutic purposes were approved before the Food and Drug Administration (FDA) began giving in-depth consideration to resistance during the drug approval process. The FDA has not established a schedule for reviewing existing approvals, although Guidance #152 notes the importance of doing so. Specifically, Guidance #152 sets forth the responsibility of the FDA Center for Veterinary Medicine (CVM), which is charged with regulating antimicrobials approved for use in animals: “prior to approving an antimicrobial new animal drug application, FDA must determine that the drug is safe and effective for its intended use in the animal. The Agency must also determine that the antimicrobial new animal drug intended for use in food-producing animals is safe with regard to human health </w:t>
      </w:r>
      <w:r w:rsidR="00F1107F" w:rsidRPr="00583F36">
        <w:rPr>
          <w:rFonts w:ascii="Times New Roman" w:hAnsi="Times New Roman" w:cs="Times New Roman"/>
          <w:sz w:val="24"/>
          <w:szCs w:val="24"/>
        </w:rPr>
        <w:fldChar w:fldCharType="begin"/>
      </w:r>
      <w:r w:rsidRPr="00583F36">
        <w:rPr>
          <w:rFonts w:ascii="Times New Roman" w:hAnsi="Times New Roman" w:cs="Times New Roman"/>
          <w:sz w:val="24"/>
          <w:szCs w:val="24"/>
        </w:rPr>
        <w:instrText xml:space="preserve"> ADDIN EN.CITE &lt;EndNote&gt;&lt;Cite&gt;&lt;Author&gt;FDA-CVM&lt;/Author&gt;&lt;Year&gt;2003&lt;/Year&gt;&lt;RecNum&gt;163&lt;/RecNum&gt;&lt;record&gt;&lt;rec-number&gt;163&lt;/rec-number&gt;&lt;foreign-keys&gt;&lt;key app="EN" db-id="fx09wt52bdaprwevv90v9r02x0d55tw2vdtr"&gt;163&lt;/key&gt;&lt;/foreign-keys&gt;&lt;ref-type name="Government Document"&gt;46&lt;/ref-type&gt;&lt;contributors&gt;&lt;authors&gt;&lt;author&gt;FDA-CVM&lt;/author&gt;&lt;/authors&gt;&lt;/contributors&gt;&lt;titles&gt;&lt;title&gt;Guidance for Industry #152&lt;/title&gt;&lt;/titles&gt;&lt;dates&gt;&lt;year&gt;2003&lt;/year&gt;&lt;/dates&gt;&lt;urls&gt;&lt;/urls&gt;&lt;/record&gt;&lt;/Cite&gt;&lt;/EndNote&gt;</w:instrText>
      </w:r>
      <w:r w:rsidR="00F1107F" w:rsidRPr="00583F36">
        <w:rPr>
          <w:rFonts w:ascii="Times New Roman" w:hAnsi="Times New Roman" w:cs="Times New Roman"/>
          <w:sz w:val="24"/>
          <w:szCs w:val="24"/>
        </w:rPr>
        <w:fldChar w:fldCharType="separate"/>
      </w:r>
      <w:r w:rsidRPr="00583F36">
        <w:rPr>
          <w:rFonts w:ascii="Times New Roman" w:hAnsi="Times New Roman" w:cs="Times New Roman"/>
          <w:sz w:val="24"/>
          <w:szCs w:val="24"/>
        </w:rPr>
        <w:t>(FDA-CVM, 2003)</w:t>
      </w:r>
      <w:r w:rsidR="00F1107F" w:rsidRPr="00583F36">
        <w:rPr>
          <w:rFonts w:ascii="Times New Roman" w:hAnsi="Times New Roman" w:cs="Times New Roman"/>
          <w:sz w:val="24"/>
          <w:szCs w:val="24"/>
        </w:rPr>
        <w:fldChar w:fldCharType="end"/>
      </w:r>
      <w:r w:rsidRPr="00583F36">
        <w:rPr>
          <w:rFonts w:ascii="Times New Roman" w:hAnsi="Times New Roman" w:cs="Times New Roman"/>
          <w:sz w:val="24"/>
          <w:szCs w:val="24"/>
        </w:rPr>
        <w:t xml:space="preserve">.” The Guidance also says that “the FDA believes that human exposure through the ingestion of antimicrobial-resistant bacteria from animal-derived foods represents the most significant pathway for human exposure to bacteria that have emerged or been selected as a consequence of antimicrobial drug use in animals.” However, it goes on to warn that the “FDA’s guidance documents, including this guidance, do not establish legally enforceable responsibilities. Instead, the guidance describes the Agency’s current thinking on the topic and should be viewed only as guidance, unless specific regulatory or statutory requirements are cited. The use of the word ‘should’ in Agency guidance means that something is suggested or recommended, but not required” </w:t>
      </w:r>
      <w:r w:rsidR="00F1107F" w:rsidRPr="00583F36">
        <w:rPr>
          <w:rFonts w:ascii="Times New Roman" w:hAnsi="Times New Roman" w:cs="Times New Roman"/>
          <w:sz w:val="24"/>
          <w:szCs w:val="24"/>
        </w:rPr>
        <w:fldChar w:fldCharType="begin"/>
      </w:r>
      <w:r w:rsidRPr="00583F36">
        <w:rPr>
          <w:rFonts w:ascii="Times New Roman" w:hAnsi="Times New Roman" w:cs="Times New Roman"/>
          <w:sz w:val="24"/>
          <w:szCs w:val="24"/>
        </w:rPr>
        <w:instrText xml:space="preserve"> ADDIN EN.CITE &lt;EndNote&gt;&lt;Cite&gt;&lt;Author&gt;FDA-CVM&lt;/Author&gt;&lt;Year&gt;2003&lt;/Year&gt;&lt;RecNum&gt;163&lt;/RecNum&gt;&lt;record&gt;&lt;rec-number&gt;163&lt;/rec-number&gt;&lt;foreign-keys&gt;&lt;key app="EN" db-id="fx09wt52bdaprwevv90v9r02x0d55tw2vdtr"&gt;163&lt;/key&gt;&lt;/foreign-keys&gt;&lt;ref-type name="Government Document"&gt;46&lt;/ref-type&gt;&lt;contributors&gt;&lt;authors&gt;&lt;author&gt;FDA-CVM&lt;/author&gt;&lt;/authors&gt;&lt;/contributors&gt;&lt;titles&gt;&lt;title&gt;Guidance for Industry #152&lt;/title&gt;&lt;/titles&gt;&lt;dates&gt;&lt;year&gt;2003&lt;/year&gt;&lt;/dates&gt;&lt;urls&gt;&lt;/urls&gt;&lt;/record&gt;&lt;/Cite&gt;&lt;/EndNote&gt;</w:instrText>
      </w:r>
      <w:r w:rsidR="00F1107F" w:rsidRPr="00583F36">
        <w:rPr>
          <w:rFonts w:ascii="Times New Roman" w:hAnsi="Times New Roman" w:cs="Times New Roman"/>
          <w:sz w:val="24"/>
          <w:szCs w:val="24"/>
        </w:rPr>
        <w:fldChar w:fldCharType="separate"/>
      </w:r>
      <w:r w:rsidRPr="00583F36">
        <w:rPr>
          <w:rFonts w:ascii="Times New Roman" w:hAnsi="Times New Roman" w:cs="Times New Roman"/>
          <w:sz w:val="24"/>
          <w:szCs w:val="24"/>
        </w:rPr>
        <w:t>(FDA-CVM, 2003)</w:t>
      </w:r>
      <w:r w:rsidR="00F1107F" w:rsidRPr="00583F36">
        <w:rPr>
          <w:rFonts w:ascii="Times New Roman" w:hAnsi="Times New Roman" w:cs="Times New Roman"/>
          <w:sz w:val="24"/>
          <w:szCs w:val="24"/>
        </w:rPr>
        <w:fldChar w:fldCharType="end"/>
      </w:r>
      <w:r w:rsidRPr="00583F36">
        <w:rPr>
          <w:rFonts w:ascii="Times New Roman" w:hAnsi="Times New Roman" w:cs="Times New Roman"/>
          <w:sz w:val="24"/>
          <w:szCs w:val="24"/>
        </w:rPr>
        <w:t xml:space="preserve">. </w:t>
      </w:r>
    </w:p>
    <w:p w:rsidR="00152B1E" w:rsidRPr="00583F36" w:rsidRDefault="00152B1E" w:rsidP="000E4904">
      <w:pPr>
        <w:spacing w:line="480" w:lineRule="auto"/>
        <w:jc w:val="both"/>
        <w:rPr>
          <w:rFonts w:ascii="Times New Roman" w:hAnsi="Times New Roman" w:cs="Times New Roman"/>
          <w:sz w:val="24"/>
          <w:szCs w:val="24"/>
        </w:rPr>
      </w:pPr>
    </w:p>
    <w:p w:rsidR="00175AE5" w:rsidRDefault="005D7393" w:rsidP="000E4904">
      <w:pPr>
        <w:spacing w:line="480" w:lineRule="auto"/>
        <w:jc w:val="both"/>
        <w:rPr>
          <w:rFonts w:ascii="Times New Roman" w:hAnsi="Times New Roman" w:cs="Times New Roman"/>
          <w:sz w:val="24"/>
          <w:szCs w:val="24"/>
        </w:rPr>
      </w:pPr>
      <w:r w:rsidRPr="00583F36">
        <w:rPr>
          <w:rFonts w:ascii="Times New Roman" w:hAnsi="Times New Roman" w:cs="Times New Roman"/>
          <w:sz w:val="24"/>
          <w:szCs w:val="24"/>
        </w:rPr>
        <w:lastRenderedPageBreak/>
        <w:t>The Commission believes that the “recommendations” in Guidance #152 should be made legally enforceable and applied retroactively to previously approved antimicrobials. Additional funding for FDA is required to achieve this recommendation.</w:t>
      </w:r>
      <w:r w:rsidR="00EA39C5">
        <w:rPr>
          <w:rFonts w:ascii="Times New Roman" w:hAnsi="Times New Roman" w:cs="Times New Roman"/>
          <w:sz w:val="24"/>
          <w:szCs w:val="24"/>
        </w:rPr>
        <w:t xml:space="preserve">  If any reviews of antibiotic use under Guidance #152 have been conducted by the Center for Veterinary Medicine, the results of the review should be released immediately.</w:t>
      </w:r>
    </w:p>
    <w:p w:rsidR="009F074D" w:rsidRDefault="009F074D" w:rsidP="009F074D">
      <w:pPr>
        <w:rPr>
          <w:rFonts w:ascii="Times New Roman" w:hAnsi="Times New Roman" w:cs="Times New Roman"/>
          <w:b/>
          <w:sz w:val="24"/>
          <w:szCs w:val="24"/>
        </w:rPr>
      </w:pPr>
      <w:r w:rsidRPr="00583F36">
        <w:rPr>
          <w:rFonts w:ascii="Times New Roman" w:hAnsi="Times New Roman" w:cs="Times New Roman"/>
          <w:b/>
          <w:i/>
          <w:sz w:val="24"/>
          <w:szCs w:val="24"/>
        </w:rPr>
        <w:t>Recommendation #2.</w:t>
      </w:r>
      <w:r w:rsidRPr="00583F36">
        <w:rPr>
          <w:rFonts w:ascii="Times New Roman" w:hAnsi="Times New Roman" w:cs="Times New Roman"/>
          <w:b/>
          <w:sz w:val="24"/>
          <w:szCs w:val="24"/>
        </w:rPr>
        <w:t xml:space="preserve"> Clarify antimicrobial definitions to provide clear estimates of use and facilitate clear policies on antimicrobial use. </w:t>
      </w:r>
    </w:p>
    <w:p w:rsidR="00175AE5" w:rsidRPr="00583F36" w:rsidRDefault="00175AE5" w:rsidP="009F074D">
      <w:pPr>
        <w:rPr>
          <w:rFonts w:ascii="Times New Roman" w:hAnsi="Times New Roman" w:cs="Times New Roman"/>
          <w:sz w:val="24"/>
          <w:szCs w:val="24"/>
        </w:rPr>
      </w:pPr>
    </w:p>
    <w:p w:rsidR="00BC0CC3" w:rsidRDefault="009F074D" w:rsidP="00BC0CC3">
      <w:pPr>
        <w:numPr>
          <w:ilvl w:val="0"/>
          <w:numId w:val="2"/>
        </w:numPr>
        <w:tabs>
          <w:tab w:val="clear" w:pos="720"/>
          <w:tab w:val="num" w:pos="360"/>
        </w:tabs>
        <w:spacing w:after="0" w:line="360" w:lineRule="auto"/>
        <w:ind w:left="360"/>
        <w:rPr>
          <w:rFonts w:ascii="Times New Roman" w:hAnsi="Times New Roman" w:cs="Times New Roman"/>
          <w:sz w:val="24"/>
          <w:szCs w:val="24"/>
        </w:rPr>
      </w:pPr>
      <w:r w:rsidRPr="001A3E79">
        <w:rPr>
          <w:rFonts w:ascii="Times New Roman" w:hAnsi="Times New Roman" w:cs="Times New Roman"/>
          <w:sz w:val="24"/>
          <w:szCs w:val="24"/>
        </w:rPr>
        <w:t xml:space="preserve">The Commission defines as </w:t>
      </w:r>
      <w:r w:rsidRPr="001A3E79">
        <w:rPr>
          <w:rFonts w:ascii="Times New Roman" w:hAnsi="Times New Roman" w:cs="Times New Roman"/>
          <w:i/>
          <w:sz w:val="24"/>
          <w:szCs w:val="24"/>
        </w:rPr>
        <w:t>non-therapeutic</w:t>
      </w:r>
      <w:r w:rsidRPr="00583F36">
        <w:rPr>
          <w:rStyle w:val="FootnoteReference"/>
          <w:rFonts w:ascii="Times New Roman" w:hAnsi="Times New Roman" w:cs="Times New Roman"/>
          <w:sz w:val="24"/>
          <w:szCs w:val="24"/>
        </w:rPr>
        <w:footnoteReference w:id="4"/>
      </w:r>
      <w:r w:rsidRPr="001A3E79">
        <w:rPr>
          <w:rFonts w:ascii="Times New Roman" w:hAnsi="Times New Roman" w:cs="Times New Roman"/>
          <w:sz w:val="24"/>
          <w:szCs w:val="24"/>
        </w:rPr>
        <w:t xml:space="preserve"> any use of antimicrobials in food animals in the absence of microbial disease or known (documented) microbial disease exposure; thus, any use of the drug as an additive for growth promotion, feed efficiency, weight gain, routine disease prevention in the absence of documented exposure, or other routine purpose is considered non-therapeutic.</w:t>
      </w:r>
      <w:r w:rsidRPr="00583F36">
        <w:rPr>
          <w:rStyle w:val="FootnoteReference"/>
          <w:rFonts w:ascii="Times New Roman" w:hAnsi="Times New Roman" w:cs="Times New Roman"/>
          <w:sz w:val="24"/>
          <w:szCs w:val="24"/>
        </w:rPr>
        <w:footnoteReference w:id="5"/>
      </w:r>
    </w:p>
    <w:p w:rsidR="001A3E79" w:rsidRPr="001A3E79" w:rsidRDefault="001A3E79" w:rsidP="001A3E79">
      <w:pPr>
        <w:spacing w:after="0" w:line="360" w:lineRule="auto"/>
        <w:rPr>
          <w:rFonts w:ascii="Times New Roman" w:hAnsi="Times New Roman" w:cs="Times New Roman"/>
          <w:sz w:val="24"/>
          <w:szCs w:val="24"/>
        </w:rPr>
      </w:pPr>
    </w:p>
    <w:p w:rsidR="009F074D" w:rsidRDefault="009F074D" w:rsidP="009F074D">
      <w:pPr>
        <w:numPr>
          <w:ilvl w:val="0"/>
          <w:numId w:val="2"/>
        </w:numPr>
        <w:tabs>
          <w:tab w:val="clear" w:pos="720"/>
          <w:tab w:val="num" w:pos="360"/>
        </w:tabs>
        <w:spacing w:after="0" w:line="360" w:lineRule="auto"/>
        <w:ind w:left="360"/>
        <w:rPr>
          <w:rFonts w:ascii="Times New Roman" w:hAnsi="Times New Roman" w:cs="Times New Roman"/>
          <w:sz w:val="24"/>
          <w:szCs w:val="24"/>
        </w:rPr>
      </w:pPr>
      <w:r w:rsidRPr="00583F36">
        <w:rPr>
          <w:rFonts w:ascii="Times New Roman" w:hAnsi="Times New Roman" w:cs="Times New Roman"/>
          <w:sz w:val="24"/>
          <w:szCs w:val="24"/>
        </w:rPr>
        <w:t xml:space="preserve">The Commission defines as </w:t>
      </w:r>
      <w:r w:rsidRPr="00583F36">
        <w:rPr>
          <w:rFonts w:ascii="Times New Roman" w:hAnsi="Times New Roman" w:cs="Times New Roman"/>
          <w:i/>
          <w:sz w:val="24"/>
          <w:szCs w:val="24"/>
        </w:rPr>
        <w:t>therapeutic</w:t>
      </w:r>
      <w:r w:rsidRPr="00583F36">
        <w:rPr>
          <w:rFonts w:ascii="Times New Roman" w:hAnsi="Times New Roman" w:cs="Times New Roman"/>
          <w:sz w:val="24"/>
          <w:szCs w:val="24"/>
        </w:rPr>
        <w:t xml:space="preserve"> the use of antimicrobials in food animals with diagnosed microbial disease.</w:t>
      </w:r>
    </w:p>
    <w:p w:rsidR="000E4904" w:rsidRPr="00583F36" w:rsidRDefault="000E4904" w:rsidP="000E4904">
      <w:pPr>
        <w:spacing w:after="0" w:line="360" w:lineRule="auto"/>
        <w:rPr>
          <w:rFonts w:ascii="Times New Roman" w:hAnsi="Times New Roman" w:cs="Times New Roman"/>
          <w:sz w:val="24"/>
          <w:szCs w:val="24"/>
        </w:rPr>
      </w:pPr>
    </w:p>
    <w:p w:rsidR="009F074D" w:rsidRPr="00583F36" w:rsidRDefault="009F074D" w:rsidP="009F074D">
      <w:pPr>
        <w:numPr>
          <w:ilvl w:val="0"/>
          <w:numId w:val="2"/>
        </w:numPr>
        <w:tabs>
          <w:tab w:val="clear" w:pos="720"/>
          <w:tab w:val="num" w:pos="360"/>
        </w:tabs>
        <w:spacing w:after="0" w:line="360" w:lineRule="auto"/>
        <w:ind w:left="360"/>
        <w:rPr>
          <w:rFonts w:ascii="Times New Roman" w:hAnsi="Times New Roman" w:cs="Times New Roman"/>
          <w:sz w:val="24"/>
          <w:szCs w:val="24"/>
        </w:rPr>
      </w:pPr>
      <w:r w:rsidRPr="00583F36">
        <w:rPr>
          <w:rFonts w:ascii="Times New Roman" w:hAnsi="Times New Roman" w:cs="Times New Roman"/>
          <w:sz w:val="24"/>
          <w:szCs w:val="24"/>
        </w:rPr>
        <w:t xml:space="preserve">The Commission defines as </w:t>
      </w:r>
      <w:r w:rsidRPr="00583F36">
        <w:rPr>
          <w:rFonts w:ascii="Times New Roman" w:hAnsi="Times New Roman" w:cs="Times New Roman"/>
          <w:i/>
          <w:sz w:val="24"/>
          <w:szCs w:val="24"/>
        </w:rPr>
        <w:t>prophylactic</w:t>
      </w:r>
      <w:r w:rsidRPr="00583F36">
        <w:rPr>
          <w:rFonts w:ascii="Times New Roman" w:hAnsi="Times New Roman" w:cs="Times New Roman"/>
          <w:sz w:val="24"/>
          <w:szCs w:val="24"/>
        </w:rPr>
        <w:t xml:space="preserve"> the use of antimicrobials in healthy animals in advance of an expected exposure to an infectious agent or after such an exposure but before onset of laboratory-confirmed clinical disease as determined by a licensed professional. </w:t>
      </w:r>
    </w:p>
    <w:p w:rsidR="009F074D" w:rsidRPr="00583F36" w:rsidRDefault="009F074D" w:rsidP="009F074D">
      <w:pPr>
        <w:rPr>
          <w:rFonts w:ascii="Times New Roman" w:hAnsi="Times New Roman" w:cs="Times New Roman"/>
          <w:sz w:val="24"/>
          <w:szCs w:val="24"/>
        </w:rPr>
      </w:pPr>
    </w:p>
    <w:p w:rsidR="009F074D" w:rsidRPr="00583F36" w:rsidRDefault="009F074D" w:rsidP="009F074D">
      <w:pPr>
        <w:rPr>
          <w:rFonts w:ascii="Times New Roman" w:hAnsi="Times New Roman" w:cs="Times New Roman"/>
          <w:i/>
          <w:sz w:val="24"/>
          <w:szCs w:val="24"/>
        </w:rPr>
      </w:pPr>
      <w:r w:rsidRPr="00583F36">
        <w:rPr>
          <w:rFonts w:ascii="Times New Roman" w:hAnsi="Times New Roman" w:cs="Times New Roman"/>
          <w:i/>
          <w:sz w:val="24"/>
          <w:szCs w:val="24"/>
        </w:rPr>
        <w:t>Background</w:t>
      </w:r>
    </w:p>
    <w:p w:rsidR="009F074D" w:rsidRDefault="009F074D" w:rsidP="000E4904">
      <w:pPr>
        <w:spacing w:line="480" w:lineRule="auto"/>
        <w:jc w:val="both"/>
        <w:rPr>
          <w:rFonts w:ascii="Times New Roman" w:hAnsi="Times New Roman" w:cs="Times New Roman"/>
          <w:sz w:val="24"/>
          <w:szCs w:val="24"/>
        </w:rPr>
      </w:pPr>
      <w:r w:rsidRPr="00583F36">
        <w:rPr>
          <w:rFonts w:ascii="Times New Roman" w:hAnsi="Times New Roman" w:cs="Times New Roman"/>
          <w:sz w:val="24"/>
          <w:szCs w:val="24"/>
        </w:rPr>
        <w:t xml:space="preserve">In 2000 the WHO, United National Food and Agriculture Organization (FAO), and World Organization for Animal Health (OIE, </w:t>
      </w:r>
      <w:r w:rsidRPr="00583F36">
        <w:rPr>
          <w:rFonts w:ascii="Times New Roman" w:hAnsi="Times New Roman" w:cs="Times New Roman"/>
          <w:i/>
          <w:sz w:val="24"/>
          <w:szCs w:val="24"/>
        </w:rPr>
        <w:t xml:space="preserve">Fr. </w:t>
      </w:r>
      <w:r w:rsidRPr="00583F36">
        <w:rPr>
          <w:rFonts w:ascii="Times New Roman" w:hAnsi="Times New Roman" w:cs="Times New Roman"/>
          <w:bCs/>
          <w:sz w:val="24"/>
          <w:szCs w:val="24"/>
        </w:rPr>
        <w:t>Office International des Épizooties</w:t>
      </w:r>
      <w:r w:rsidRPr="00583F36">
        <w:rPr>
          <w:rFonts w:ascii="Times New Roman" w:hAnsi="Times New Roman" w:cs="Times New Roman"/>
          <w:sz w:val="24"/>
          <w:szCs w:val="24"/>
        </w:rPr>
        <w:t>) agreed on definitions of antimicrobial use in animal agriculture based on a consensus (WHO 2000)</w:t>
      </w:r>
      <w:r w:rsidRPr="00583F36">
        <w:rPr>
          <w:rFonts w:ascii="Times New Roman" w:eastAsia="MS Mincho" w:hAnsi="Times New Roman" w:cs="Times New Roman"/>
          <w:sz w:val="24"/>
          <w:szCs w:val="24"/>
        </w:rPr>
        <w:t>.</w:t>
      </w:r>
      <w:r w:rsidRPr="00583F36">
        <w:rPr>
          <w:rFonts w:ascii="Times New Roman" w:hAnsi="Times New Roman" w:cs="Times New Roman"/>
          <w:sz w:val="24"/>
          <w:szCs w:val="24"/>
        </w:rPr>
        <w:t xml:space="preserve"> Government agencies in the United States, including the USDA and FDA, govern aspects of </w:t>
      </w:r>
      <w:r w:rsidRPr="00583F36">
        <w:rPr>
          <w:rFonts w:ascii="Times New Roman" w:hAnsi="Times New Roman" w:cs="Times New Roman"/>
          <w:sz w:val="24"/>
          <w:szCs w:val="24"/>
        </w:rPr>
        <w:lastRenderedPageBreak/>
        <w:t xml:space="preserve">antimicrobial use in food animals but have varying definitions of such use. Consistent definitions should be adopted for the use of all U.S. oversight groups that estimate types of antimicrobial use and for the development of law and policy. </w:t>
      </w:r>
      <w:r w:rsidR="000E4904">
        <w:rPr>
          <w:rFonts w:ascii="Times New Roman" w:hAnsi="Times New Roman" w:cs="Times New Roman"/>
          <w:sz w:val="24"/>
          <w:szCs w:val="24"/>
        </w:rPr>
        <w:t>T</w:t>
      </w:r>
      <w:r w:rsidRPr="00583F36">
        <w:rPr>
          <w:rFonts w:ascii="Times New Roman" w:hAnsi="Times New Roman" w:cs="Times New Roman"/>
          <w:sz w:val="24"/>
          <w:szCs w:val="24"/>
        </w:rPr>
        <w:t>he Preservation of Antibiotics for Medical Treatment Act of 200</w:t>
      </w:r>
      <w:r>
        <w:rPr>
          <w:rFonts w:ascii="Times New Roman" w:hAnsi="Times New Roman" w:cs="Times New Roman"/>
          <w:sz w:val="24"/>
          <w:szCs w:val="24"/>
        </w:rPr>
        <w:t>9</w:t>
      </w:r>
      <w:r w:rsidRPr="00583F36">
        <w:rPr>
          <w:rFonts w:ascii="Times New Roman" w:hAnsi="Times New Roman" w:cs="Times New Roman"/>
          <w:sz w:val="24"/>
          <w:szCs w:val="24"/>
        </w:rPr>
        <w:t xml:space="preserve"> (PAMTA) defines non</w:t>
      </w:r>
      <w:r>
        <w:rPr>
          <w:rFonts w:ascii="Times New Roman" w:hAnsi="Times New Roman" w:cs="Times New Roman"/>
          <w:sz w:val="24"/>
          <w:szCs w:val="24"/>
        </w:rPr>
        <w:t>-</w:t>
      </w:r>
      <w:r w:rsidRPr="00583F36">
        <w:rPr>
          <w:rFonts w:ascii="Times New Roman" w:hAnsi="Times New Roman" w:cs="Times New Roman"/>
          <w:sz w:val="24"/>
          <w:szCs w:val="24"/>
        </w:rPr>
        <w:t xml:space="preserve">therapeutic use as “any use of the drug as a feed or water additive for an animal in the absence of any clinical sign of disease in the animal for growth promotion, feed efficiency, weight gain, routine disease prevention, or other routine purpose </w:t>
      </w:r>
      <w:r w:rsidR="00F1107F" w:rsidRPr="00583F36">
        <w:rPr>
          <w:rFonts w:ascii="Times New Roman" w:hAnsi="Times New Roman" w:cs="Times New Roman"/>
          <w:sz w:val="24"/>
          <w:szCs w:val="24"/>
        </w:rPr>
        <w:fldChar w:fldCharType="begin"/>
      </w:r>
      <w:r w:rsidRPr="00583F36">
        <w:rPr>
          <w:rFonts w:ascii="Times New Roman" w:hAnsi="Times New Roman" w:cs="Times New Roman"/>
          <w:sz w:val="24"/>
          <w:szCs w:val="24"/>
        </w:rPr>
        <w:instrText xml:space="preserve"> ADDIN EN.CITE &lt;EndNote&gt;&lt;Cite&gt;&lt;Year&gt;2007&lt;/Year&gt;&lt;RecNum&gt;169&lt;/RecNum&gt;&lt;record&gt;&lt;rec-number&gt;169&lt;/rec-number&gt;&lt;foreign-keys&gt;&lt;key app="EN" db-id="xfrzetatnzrr2jeprww5ax2uae9zxx092x2e"&gt;169&lt;/key&gt;&lt;/foreign-keys&gt;&lt;ref-type name="Bill"&gt;4&lt;/ref-type&gt;&lt;contributors&gt;&lt;subsidiary-authors&gt;&lt;author&gt;Edward Kennedy&lt;/author&gt;&lt;/subsidiary-authors&gt;&lt;/contributors&gt;&lt;titles&gt;&lt;title&gt;Preservation of Antibiotics for Medical Treatment Act&lt;/title&gt;&lt;tertiary-title&gt;110th Congress, Senate of the United States&lt;/tertiary-title&gt;&lt;short-title&gt;PAMTA&lt;/short-title&gt;&lt;/titles&gt;&lt;number&gt;S.549/HR.962&lt;/number&gt;&lt;edition&gt;1st&lt;/edition&gt;&lt;dates&gt;&lt;year&gt;2007&lt;/year&gt;&lt;pub-dates&gt;&lt;date&gt;February 12, 2007&lt;/date&gt;&lt;/pub-dates&gt;&lt;/dates&gt;&lt;accession-num&gt;S.549&lt;/accession-num&gt;&lt;urls&gt;&lt;/urls&gt;&lt;/record&gt;&lt;/Cite&gt;&lt;/EndNote&gt;</w:instrText>
      </w:r>
      <w:r w:rsidR="00F1107F" w:rsidRPr="00583F36">
        <w:rPr>
          <w:rFonts w:ascii="Times New Roman" w:hAnsi="Times New Roman" w:cs="Times New Roman"/>
          <w:sz w:val="24"/>
          <w:szCs w:val="24"/>
        </w:rPr>
        <w:fldChar w:fldCharType="separate"/>
      </w:r>
      <w:r w:rsidRPr="00583F36">
        <w:rPr>
          <w:rFonts w:ascii="Times New Roman" w:hAnsi="Times New Roman" w:cs="Times New Roman"/>
          <w:sz w:val="24"/>
          <w:szCs w:val="24"/>
        </w:rPr>
        <w:t>(200</w:t>
      </w:r>
      <w:r w:rsidR="00EA39C5">
        <w:rPr>
          <w:rFonts w:ascii="Times New Roman" w:hAnsi="Times New Roman" w:cs="Times New Roman"/>
          <w:sz w:val="24"/>
          <w:szCs w:val="24"/>
        </w:rPr>
        <w:t>9</w:t>
      </w:r>
      <w:r w:rsidRPr="00583F36">
        <w:rPr>
          <w:rFonts w:ascii="Times New Roman" w:hAnsi="Times New Roman" w:cs="Times New Roman"/>
          <w:sz w:val="24"/>
          <w:szCs w:val="24"/>
        </w:rPr>
        <w:t>a)</w:t>
      </w:r>
      <w:r w:rsidR="00F1107F" w:rsidRPr="00583F36">
        <w:rPr>
          <w:rFonts w:ascii="Times New Roman" w:hAnsi="Times New Roman" w:cs="Times New Roman"/>
          <w:sz w:val="24"/>
          <w:szCs w:val="24"/>
        </w:rPr>
        <w:fldChar w:fldCharType="end"/>
      </w:r>
      <w:r w:rsidRPr="00583F36">
        <w:rPr>
          <w:rFonts w:ascii="Times New Roman" w:eastAsia="MS Mincho" w:hAnsi="Times New Roman" w:cs="Times New Roman"/>
          <w:sz w:val="24"/>
          <w:szCs w:val="24"/>
        </w:rPr>
        <w:t>.</w:t>
      </w:r>
      <w:r w:rsidRPr="00583F36">
        <w:rPr>
          <w:rFonts w:ascii="Times New Roman" w:hAnsi="Times New Roman" w:cs="Times New Roman"/>
          <w:sz w:val="24"/>
          <w:szCs w:val="24"/>
        </w:rPr>
        <w:t>” If the bill becomes law, this will be the legal definition of non</w:t>
      </w:r>
      <w:r>
        <w:rPr>
          <w:rFonts w:ascii="Times New Roman" w:hAnsi="Times New Roman" w:cs="Times New Roman"/>
          <w:sz w:val="24"/>
          <w:szCs w:val="24"/>
        </w:rPr>
        <w:t>-</w:t>
      </w:r>
      <w:r w:rsidRPr="00583F36">
        <w:rPr>
          <w:rFonts w:ascii="Times New Roman" w:hAnsi="Times New Roman" w:cs="Times New Roman"/>
          <w:sz w:val="24"/>
          <w:szCs w:val="24"/>
        </w:rPr>
        <w:t xml:space="preserve">therapeutic use for all executive agencies and therefore legally enforceable. </w:t>
      </w:r>
    </w:p>
    <w:p w:rsidR="000E4904" w:rsidRPr="00BE0294" w:rsidRDefault="000E4904" w:rsidP="000E4904">
      <w:pPr>
        <w:spacing w:line="480" w:lineRule="auto"/>
        <w:jc w:val="both"/>
        <w:rPr>
          <w:rFonts w:ascii="Times New Roman" w:hAnsi="Times New Roman" w:cs="Times New Roman"/>
          <w:b/>
          <w:sz w:val="24"/>
          <w:szCs w:val="24"/>
        </w:rPr>
      </w:pPr>
      <w:r w:rsidRPr="00BE0294">
        <w:rPr>
          <w:rFonts w:ascii="Times New Roman" w:hAnsi="Times New Roman" w:cs="Times New Roman"/>
          <w:b/>
          <w:sz w:val="24"/>
          <w:szCs w:val="24"/>
        </w:rPr>
        <w:t>The Danish Experience</w:t>
      </w:r>
    </w:p>
    <w:p w:rsidR="00BE0294" w:rsidRDefault="00175AE5" w:rsidP="000E490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1998, Denmark banned the use of antibiotics as growth promoters.  Now, after 11 years of data are available, an updated assessment of the impacts of that ban will be published in the Journal of the American Veterinary Medical Association (JAVMA) later this year.  </w:t>
      </w:r>
      <w:r w:rsidR="00BE0294">
        <w:rPr>
          <w:rFonts w:ascii="Times New Roman" w:hAnsi="Times New Roman" w:cs="Times New Roman"/>
          <w:sz w:val="24"/>
          <w:szCs w:val="24"/>
        </w:rPr>
        <w:t>It is important to understand the results of the ban on antibiotics used for growth promotion in Denmark, presently the European nation with the largest swine production, to have an idea of what would happen in the United States if a ban were implemented.</w:t>
      </w:r>
    </w:p>
    <w:p w:rsidR="00152B1E" w:rsidRDefault="00152B1E" w:rsidP="000E4904">
      <w:pPr>
        <w:spacing w:line="480" w:lineRule="auto"/>
        <w:jc w:val="both"/>
        <w:rPr>
          <w:rFonts w:ascii="Times New Roman" w:hAnsi="Times New Roman" w:cs="Times New Roman"/>
          <w:sz w:val="24"/>
          <w:szCs w:val="24"/>
        </w:rPr>
      </w:pPr>
    </w:p>
    <w:p w:rsidR="00175AE5" w:rsidRDefault="00175AE5" w:rsidP="000E490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Danish study is titled, </w:t>
      </w:r>
      <w:r w:rsidRPr="00BE0294">
        <w:rPr>
          <w:rFonts w:ascii="Times New Roman" w:hAnsi="Times New Roman" w:cs="Times New Roman"/>
          <w:i/>
          <w:sz w:val="24"/>
          <w:szCs w:val="24"/>
        </w:rPr>
        <w:t>Use of Antimicrobials in the Danish Swine Production, 1992-2007; The Meat of the matter and Lesson Learned</w:t>
      </w:r>
      <w:r>
        <w:rPr>
          <w:rFonts w:ascii="Times New Roman" w:hAnsi="Times New Roman" w:cs="Times New Roman"/>
          <w:sz w:val="24"/>
          <w:szCs w:val="24"/>
        </w:rPr>
        <w:t>. The primary author of the study, Dr. Frank Aarestrup of the National Food Institute of the Technical University in Denmark, has met recently with United States producers at a conference at Kansas State University to discuss the findings of his team.</w:t>
      </w:r>
    </w:p>
    <w:p w:rsidR="00BE0294" w:rsidRPr="00BE0294" w:rsidRDefault="008D0252" w:rsidP="00BE0294">
      <w:pPr>
        <w:pStyle w:val="ListParagraph"/>
        <w:numPr>
          <w:ilvl w:val="0"/>
          <w:numId w:val="3"/>
        </w:numPr>
        <w:spacing w:line="480" w:lineRule="auto"/>
        <w:jc w:val="both"/>
        <w:rPr>
          <w:rFonts w:ascii="Times New Roman" w:hAnsi="Times New Roman" w:cs="Times New Roman"/>
          <w:sz w:val="24"/>
          <w:szCs w:val="24"/>
        </w:rPr>
      </w:pPr>
      <w:r w:rsidRPr="00BE0294">
        <w:rPr>
          <w:rFonts w:ascii="Times New Roman" w:hAnsi="Times New Roman" w:cs="Times New Roman"/>
          <w:sz w:val="24"/>
          <w:szCs w:val="24"/>
        </w:rPr>
        <w:lastRenderedPageBreak/>
        <w:t>The United States leads the world in the use of antibiotics in food animal production, whether you use estimates from the Animal Health Institute or the Union of Concern</w:t>
      </w:r>
      <w:r w:rsidR="008973D2">
        <w:rPr>
          <w:rFonts w:ascii="Times New Roman" w:hAnsi="Times New Roman" w:cs="Times New Roman"/>
          <w:sz w:val="24"/>
          <w:szCs w:val="24"/>
        </w:rPr>
        <w:t>ed</w:t>
      </w:r>
      <w:r w:rsidRPr="00BE0294">
        <w:rPr>
          <w:rFonts w:ascii="Times New Roman" w:hAnsi="Times New Roman" w:cs="Times New Roman"/>
          <w:sz w:val="24"/>
          <w:szCs w:val="24"/>
        </w:rPr>
        <w:t xml:space="preserve"> Scientist</w:t>
      </w:r>
      <w:r w:rsidR="008973D2">
        <w:rPr>
          <w:rFonts w:ascii="Times New Roman" w:hAnsi="Times New Roman" w:cs="Times New Roman"/>
          <w:sz w:val="24"/>
          <w:szCs w:val="24"/>
        </w:rPr>
        <w:t>s</w:t>
      </w:r>
      <w:r w:rsidRPr="00BE0294">
        <w:rPr>
          <w:rFonts w:ascii="Times New Roman" w:hAnsi="Times New Roman" w:cs="Times New Roman"/>
          <w:sz w:val="24"/>
          <w:szCs w:val="24"/>
        </w:rPr>
        <w:t xml:space="preserve">, according to Dr. Aarestrup. (Figure 1)  </w:t>
      </w:r>
    </w:p>
    <w:p w:rsidR="005D7506" w:rsidRDefault="008D0252" w:rsidP="00BE0294">
      <w:pPr>
        <w:pStyle w:val="ListParagraph"/>
        <w:numPr>
          <w:ilvl w:val="0"/>
          <w:numId w:val="3"/>
        </w:numPr>
        <w:spacing w:line="480" w:lineRule="auto"/>
        <w:jc w:val="both"/>
        <w:rPr>
          <w:rFonts w:ascii="Times New Roman" w:hAnsi="Times New Roman" w:cs="Times New Roman"/>
          <w:sz w:val="24"/>
          <w:szCs w:val="24"/>
        </w:rPr>
      </w:pPr>
      <w:r w:rsidRPr="00BE0294">
        <w:rPr>
          <w:rFonts w:ascii="Times New Roman" w:hAnsi="Times New Roman" w:cs="Times New Roman"/>
          <w:sz w:val="24"/>
          <w:szCs w:val="24"/>
        </w:rPr>
        <w:t xml:space="preserve">Once the growth promotion ban was instituted in 1998, therapeutic use rose slightly from 1999 until 2003, but has leveled off since 2003.  However, the total amount of antibiotics used post-ban is less than half the amount used in 1992 and the lower than the </w:t>
      </w:r>
      <w:r w:rsidR="00BE0294">
        <w:rPr>
          <w:rFonts w:ascii="Times New Roman" w:hAnsi="Times New Roman" w:cs="Times New Roman"/>
          <w:sz w:val="24"/>
          <w:szCs w:val="24"/>
        </w:rPr>
        <w:t xml:space="preserve">total amount used each year from </w:t>
      </w:r>
      <w:r w:rsidRPr="00BE0294">
        <w:rPr>
          <w:rFonts w:ascii="Times New Roman" w:hAnsi="Times New Roman" w:cs="Times New Roman"/>
          <w:sz w:val="24"/>
          <w:szCs w:val="24"/>
        </w:rPr>
        <w:t xml:space="preserve">1992 </w:t>
      </w:r>
      <w:r w:rsidR="00BE0294">
        <w:rPr>
          <w:rFonts w:ascii="Times New Roman" w:hAnsi="Times New Roman" w:cs="Times New Roman"/>
          <w:sz w:val="24"/>
          <w:szCs w:val="24"/>
        </w:rPr>
        <w:t>to</w:t>
      </w:r>
      <w:r w:rsidRPr="00BE0294">
        <w:rPr>
          <w:rFonts w:ascii="Times New Roman" w:hAnsi="Times New Roman" w:cs="Times New Roman"/>
          <w:sz w:val="24"/>
          <w:szCs w:val="24"/>
        </w:rPr>
        <w:t xml:space="preserve"> 1999. (Figure 2)</w:t>
      </w:r>
    </w:p>
    <w:p w:rsidR="00BE0294" w:rsidRDefault="009E459B" w:rsidP="00BE0294">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Mortality in weaners increased for a brief time post ban and weight gain declined in the same period.  However, according to a conversation I had with the study’s author, mortality rates declined and weight gain recovered once production practices were improved, including better ventilation in the barns, more space provided for the animals, and more frequent cleaning of the barns. (Figures 3 and 4)</w:t>
      </w:r>
    </w:p>
    <w:p w:rsidR="009E459B" w:rsidRDefault="009E459B" w:rsidP="00BE0294">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The numbers of piglets per sow increased post-ban. (Figure5)</w:t>
      </w:r>
    </w:p>
    <w:p w:rsidR="009E459B" w:rsidRDefault="007C2B7B" w:rsidP="00BE0294">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Mortality</w:t>
      </w:r>
      <w:r w:rsidR="009E459B">
        <w:rPr>
          <w:rFonts w:ascii="Times New Roman" w:hAnsi="Times New Roman" w:cs="Times New Roman"/>
          <w:sz w:val="24"/>
          <w:szCs w:val="24"/>
        </w:rPr>
        <w:t xml:space="preserve"> in finisher pigs increased </w:t>
      </w:r>
      <w:r w:rsidR="001A3E79">
        <w:rPr>
          <w:rFonts w:ascii="Times New Roman" w:hAnsi="Times New Roman" w:cs="Times New Roman"/>
          <w:sz w:val="24"/>
          <w:szCs w:val="24"/>
        </w:rPr>
        <w:t xml:space="preserve">slightly </w:t>
      </w:r>
      <w:r w:rsidR="009E459B">
        <w:rPr>
          <w:rFonts w:ascii="Times New Roman" w:hAnsi="Times New Roman" w:cs="Times New Roman"/>
          <w:sz w:val="24"/>
          <w:szCs w:val="24"/>
        </w:rPr>
        <w:t>post-ban</w:t>
      </w:r>
      <w:r w:rsidR="001A3E79">
        <w:rPr>
          <w:rFonts w:ascii="Times New Roman" w:hAnsi="Times New Roman" w:cs="Times New Roman"/>
          <w:sz w:val="24"/>
          <w:szCs w:val="24"/>
        </w:rPr>
        <w:t xml:space="preserve"> but declined significantly </w:t>
      </w:r>
      <w:r>
        <w:rPr>
          <w:rFonts w:ascii="Times New Roman" w:hAnsi="Times New Roman" w:cs="Times New Roman"/>
          <w:sz w:val="24"/>
          <w:szCs w:val="24"/>
        </w:rPr>
        <w:t>in 2006 and 2007</w:t>
      </w:r>
      <w:r w:rsidR="001A3E79">
        <w:rPr>
          <w:rFonts w:ascii="Times New Roman" w:hAnsi="Times New Roman" w:cs="Times New Roman"/>
          <w:sz w:val="24"/>
          <w:szCs w:val="24"/>
        </w:rPr>
        <w:t xml:space="preserve"> following improvement in production practices such as improved ventilation in barns and improved waste handling and barn cleaning</w:t>
      </w:r>
      <w:r>
        <w:rPr>
          <w:rFonts w:ascii="Times New Roman" w:hAnsi="Times New Roman" w:cs="Times New Roman"/>
          <w:sz w:val="24"/>
          <w:szCs w:val="24"/>
        </w:rPr>
        <w:t>; growth of finishers remained steady post-ban, with the daily gain on finisher pigs increasing post-ban. (Figure 6)</w:t>
      </w:r>
    </w:p>
    <w:p w:rsidR="007C2B7B" w:rsidRPr="00FF69D7" w:rsidRDefault="007C2B7B" w:rsidP="00FF69D7">
      <w:pPr>
        <w:spacing w:after="0" w:line="480" w:lineRule="auto"/>
        <w:ind w:left="360"/>
        <w:jc w:val="both"/>
        <w:rPr>
          <w:sz w:val="24"/>
          <w:szCs w:val="24"/>
        </w:rPr>
      </w:pPr>
      <w:r w:rsidRPr="00FF69D7">
        <w:rPr>
          <w:rFonts w:ascii="Times New Roman" w:hAnsi="Times New Roman" w:cs="Times New Roman"/>
          <w:sz w:val="24"/>
          <w:szCs w:val="24"/>
        </w:rPr>
        <w:t xml:space="preserve">General conclusions from </w:t>
      </w:r>
      <w:r w:rsidR="008973D2">
        <w:rPr>
          <w:rFonts w:ascii="Times New Roman" w:hAnsi="Times New Roman" w:cs="Times New Roman"/>
          <w:sz w:val="24"/>
          <w:szCs w:val="24"/>
        </w:rPr>
        <w:t xml:space="preserve">the </w:t>
      </w:r>
      <w:r w:rsidRPr="00FF69D7">
        <w:rPr>
          <w:rFonts w:ascii="Times New Roman" w:hAnsi="Times New Roman" w:cs="Times New Roman"/>
          <w:sz w:val="24"/>
          <w:szCs w:val="24"/>
        </w:rPr>
        <w:t xml:space="preserve">Danish Study </w:t>
      </w:r>
    </w:p>
    <w:p w:rsidR="007C2B7B" w:rsidRPr="007C2B7B" w:rsidRDefault="007C2B7B" w:rsidP="00FF69D7">
      <w:pPr>
        <w:pStyle w:val="ListParagraph"/>
        <w:numPr>
          <w:ilvl w:val="0"/>
          <w:numId w:val="3"/>
        </w:numPr>
        <w:spacing w:after="0" w:line="240" w:lineRule="auto"/>
        <w:jc w:val="both"/>
        <w:rPr>
          <w:rFonts w:ascii="Times New Roman" w:hAnsi="Times New Roman" w:cs="Times New Roman"/>
          <w:sz w:val="24"/>
          <w:szCs w:val="24"/>
        </w:rPr>
      </w:pPr>
      <w:r w:rsidRPr="007C2B7B">
        <w:rPr>
          <w:rFonts w:ascii="Times New Roman" w:hAnsi="Times New Roman" w:cs="Times New Roman"/>
          <w:sz w:val="24"/>
          <w:szCs w:val="24"/>
        </w:rPr>
        <w:t xml:space="preserve">Total antimicrobial consumption </w:t>
      </w:r>
      <w:r w:rsidR="001A3E79">
        <w:rPr>
          <w:rFonts w:ascii="Times New Roman" w:hAnsi="Times New Roman" w:cs="Times New Roman"/>
          <w:sz w:val="24"/>
          <w:szCs w:val="24"/>
        </w:rPr>
        <w:t xml:space="preserve">in swine </w:t>
      </w:r>
      <w:r w:rsidRPr="007C2B7B">
        <w:rPr>
          <w:rFonts w:ascii="Times New Roman" w:hAnsi="Times New Roman" w:cs="Times New Roman"/>
          <w:sz w:val="24"/>
          <w:szCs w:val="24"/>
        </w:rPr>
        <w:t xml:space="preserve">has been reduced from 100 mg /kg to 49 mg/kg from </w:t>
      </w:r>
      <w:r>
        <w:rPr>
          <w:rFonts w:ascii="Times New Roman" w:hAnsi="Times New Roman" w:cs="Times New Roman"/>
          <w:sz w:val="24"/>
          <w:szCs w:val="24"/>
        </w:rPr>
        <w:t>1</w:t>
      </w:r>
      <w:r w:rsidRPr="007C2B7B">
        <w:rPr>
          <w:rFonts w:ascii="Times New Roman" w:hAnsi="Times New Roman" w:cs="Times New Roman"/>
          <w:sz w:val="24"/>
          <w:szCs w:val="24"/>
        </w:rPr>
        <w:t>992 to 2008</w:t>
      </w:r>
      <w:r w:rsidR="008973D2">
        <w:rPr>
          <w:rFonts w:ascii="Times New Roman" w:hAnsi="Times New Roman" w:cs="Times New Roman"/>
          <w:sz w:val="24"/>
          <w:szCs w:val="24"/>
        </w:rPr>
        <w:t>.</w:t>
      </w:r>
    </w:p>
    <w:p w:rsidR="007C2B7B" w:rsidRPr="007C2B7B" w:rsidRDefault="007C2B7B" w:rsidP="007C2B7B">
      <w:pPr>
        <w:numPr>
          <w:ilvl w:val="0"/>
          <w:numId w:val="3"/>
        </w:numPr>
        <w:spacing w:after="0"/>
        <w:rPr>
          <w:rFonts w:ascii="Times New Roman" w:hAnsi="Times New Roman" w:cs="Times New Roman"/>
          <w:sz w:val="24"/>
          <w:szCs w:val="24"/>
        </w:rPr>
      </w:pPr>
      <w:r w:rsidRPr="007C2B7B">
        <w:rPr>
          <w:rFonts w:ascii="Times New Roman" w:hAnsi="Times New Roman" w:cs="Times New Roman"/>
          <w:sz w:val="24"/>
          <w:szCs w:val="24"/>
        </w:rPr>
        <w:t>Limited (if any) long term effect on overall productivity</w:t>
      </w:r>
      <w:r w:rsidR="008973D2">
        <w:rPr>
          <w:rFonts w:ascii="Times New Roman" w:hAnsi="Times New Roman" w:cs="Times New Roman"/>
          <w:sz w:val="24"/>
          <w:szCs w:val="24"/>
        </w:rPr>
        <w:t>.</w:t>
      </w:r>
    </w:p>
    <w:p w:rsidR="007C2B7B" w:rsidRDefault="007C2B7B" w:rsidP="00AB01B1">
      <w:pPr>
        <w:numPr>
          <w:ilvl w:val="0"/>
          <w:numId w:val="3"/>
        </w:numPr>
        <w:spacing w:after="0"/>
        <w:rPr>
          <w:rFonts w:ascii="Times New Roman" w:hAnsi="Times New Roman" w:cs="Times New Roman"/>
          <w:sz w:val="24"/>
          <w:szCs w:val="24"/>
        </w:rPr>
      </w:pPr>
      <w:r w:rsidRPr="007C2B7B">
        <w:rPr>
          <w:rFonts w:ascii="Times New Roman" w:hAnsi="Times New Roman" w:cs="Times New Roman"/>
          <w:sz w:val="24"/>
          <w:szCs w:val="24"/>
        </w:rPr>
        <w:t xml:space="preserve">Decrease in </w:t>
      </w:r>
      <w:r w:rsidR="008973D2">
        <w:rPr>
          <w:rFonts w:ascii="Times New Roman" w:hAnsi="Times New Roman" w:cs="Times New Roman"/>
          <w:sz w:val="24"/>
          <w:szCs w:val="24"/>
        </w:rPr>
        <w:t xml:space="preserve">antimicrobial </w:t>
      </w:r>
      <w:r w:rsidRPr="007C2B7B">
        <w:rPr>
          <w:rFonts w:ascii="Times New Roman" w:hAnsi="Times New Roman" w:cs="Times New Roman"/>
          <w:sz w:val="24"/>
          <w:szCs w:val="24"/>
        </w:rPr>
        <w:t>resistance has followed reduced use</w:t>
      </w:r>
      <w:r w:rsidR="008973D2">
        <w:rPr>
          <w:rFonts w:ascii="Times New Roman" w:hAnsi="Times New Roman" w:cs="Times New Roman"/>
          <w:sz w:val="24"/>
          <w:szCs w:val="24"/>
        </w:rPr>
        <w:t>.</w:t>
      </w:r>
    </w:p>
    <w:p w:rsidR="00152B1E" w:rsidRPr="00AB01B1" w:rsidRDefault="00152B1E" w:rsidP="00152B1E">
      <w:pPr>
        <w:spacing w:after="0"/>
        <w:rPr>
          <w:rFonts w:ascii="Times New Roman" w:hAnsi="Times New Roman" w:cs="Times New Roman"/>
          <w:sz w:val="24"/>
          <w:szCs w:val="24"/>
        </w:rPr>
      </w:pPr>
    </w:p>
    <w:p w:rsidR="00FF69D7" w:rsidRDefault="00FF69D7" w:rsidP="00FF69D7">
      <w:pPr>
        <w:spacing w:after="0"/>
        <w:rPr>
          <w:rFonts w:ascii="Times New Roman" w:hAnsi="Times New Roman" w:cs="Times New Roman"/>
          <w:sz w:val="24"/>
          <w:szCs w:val="24"/>
        </w:rPr>
      </w:pPr>
    </w:p>
    <w:p w:rsidR="00FF69D7" w:rsidRDefault="00FF69D7" w:rsidP="00FF69D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Pew Commission on Industrial Farm Animal Production made our recommendations in an effort to stem the advance of antibiotic resistance.  It has been shown that antibiotics once rendered ineffective due to overuse can become effective again once that overuse is stopped.  It is important to note that the Pew Commission never advocated ending all antibiotic use in food </w:t>
      </w:r>
      <w:r>
        <w:rPr>
          <w:rFonts w:ascii="Times New Roman" w:hAnsi="Times New Roman" w:cs="Times New Roman"/>
          <w:sz w:val="24"/>
          <w:szCs w:val="24"/>
        </w:rPr>
        <w:lastRenderedPageBreak/>
        <w:t>animal production.  Such a recommendation would be irresponsible.  We did seek to maintain the effectiveness of antibiotics to treat sick animals by limiting the routine use.</w:t>
      </w:r>
    </w:p>
    <w:p w:rsidR="00152B1E" w:rsidRDefault="00152B1E" w:rsidP="00FF69D7">
      <w:pPr>
        <w:spacing w:after="0" w:line="360" w:lineRule="auto"/>
        <w:jc w:val="both"/>
        <w:rPr>
          <w:rFonts w:ascii="Times New Roman" w:hAnsi="Times New Roman" w:cs="Times New Roman"/>
          <w:sz w:val="24"/>
          <w:szCs w:val="24"/>
        </w:rPr>
      </w:pPr>
    </w:p>
    <w:p w:rsidR="00FF69D7" w:rsidRDefault="00FF69D7" w:rsidP="00FF69D7">
      <w:pPr>
        <w:spacing w:after="0" w:line="360" w:lineRule="auto"/>
        <w:jc w:val="both"/>
        <w:rPr>
          <w:rFonts w:ascii="Times New Roman" w:hAnsi="Times New Roman" w:cs="Times New Roman"/>
          <w:sz w:val="24"/>
          <w:szCs w:val="24"/>
        </w:rPr>
      </w:pPr>
    </w:p>
    <w:p w:rsidR="00FF69D7" w:rsidRDefault="002A043C" w:rsidP="00FF69D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Madame C</w:t>
      </w:r>
      <w:r w:rsidR="00FF69D7">
        <w:rPr>
          <w:rFonts w:ascii="Times New Roman" w:hAnsi="Times New Roman" w:cs="Times New Roman"/>
          <w:sz w:val="24"/>
          <w:szCs w:val="24"/>
        </w:rPr>
        <w:t>hair, I commend you for introducing this important legislation and for conducting this hearing today.  The increase in bacterial antibiotic resistance, and the inappropriate use in food animal production, is a serious—if silent—threat to our public health.</w:t>
      </w:r>
    </w:p>
    <w:p w:rsidR="00FF69D7" w:rsidRDefault="00FF69D7" w:rsidP="00FF69D7">
      <w:pPr>
        <w:spacing w:after="0" w:line="360" w:lineRule="auto"/>
        <w:jc w:val="both"/>
        <w:rPr>
          <w:rFonts w:ascii="Times New Roman" w:hAnsi="Times New Roman" w:cs="Times New Roman"/>
          <w:sz w:val="24"/>
          <w:szCs w:val="24"/>
        </w:rPr>
      </w:pPr>
    </w:p>
    <w:p w:rsidR="00152B1E" w:rsidRDefault="00FF69D7" w:rsidP="001A3E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Thank you. </w:t>
      </w:r>
    </w:p>
    <w:p w:rsidR="00152B1E" w:rsidRDefault="00152B1E" w:rsidP="001A3E79">
      <w:pPr>
        <w:spacing w:after="0" w:line="360" w:lineRule="auto"/>
        <w:jc w:val="both"/>
        <w:rPr>
          <w:rFonts w:ascii="Times New Roman" w:hAnsi="Times New Roman" w:cs="Times New Roman"/>
          <w:sz w:val="24"/>
          <w:szCs w:val="24"/>
        </w:rPr>
      </w:pPr>
    </w:p>
    <w:p w:rsidR="00152B1E" w:rsidRDefault="00152B1E" w:rsidP="001A3E79">
      <w:pPr>
        <w:spacing w:after="0" w:line="360" w:lineRule="auto"/>
        <w:jc w:val="both"/>
        <w:rPr>
          <w:rFonts w:ascii="Times New Roman" w:hAnsi="Times New Roman" w:cs="Times New Roman"/>
          <w:sz w:val="24"/>
          <w:szCs w:val="24"/>
        </w:rPr>
      </w:pPr>
    </w:p>
    <w:p w:rsidR="00152B1E" w:rsidRDefault="00152B1E" w:rsidP="001A3E79">
      <w:pPr>
        <w:spacing w:after="0" w:line="360" w:lineRule="auto"/>
        <w:jc w:val="both"/>
        <w:rPr>
          <w:rFonts w:ascii="Times New Roman" w:hAnsi="Times New Roman" w:cs="Times New Roman"/>
          <w:sz w:val="24"/>
          <w:szCs w:val="24"/>
        </w:rPr>
      </w:pPr>
    </w:p>
    <w:p w:rsidR="00152B1E" w:rsidRDefault="00152B1E" w:rsidP="001A3E79">
      <w:pPr>
        <w:spacing w:after="0" w:line="360" w:lineRule="auto"/>
        <w:jc w:val="both"/>
        <w:rPr>
          <w:rFonts w:ascii="Times New Roman" w:hAnsi="Times New Roman" w:cs="Times New Roman"/>
          <w:sz w:val="24"/>
          <w:szCs w:val="24"/>
        </w:rPr>
      </w:pPr>
    </w:p>
    <w:p w:rsidR="00152B1E" w:rsidRDefault="00152B1E" w:rsidP="001A3E79">
      <w:pPr>
        <w:spacing w:after="0" w:line="360" w:lineRule="auto"/>
        <w:jc w:val="both"/>
        <w:rPr>
          <w:rFonts w:ascii="Times New Roman" w:hAnsi="Times New Roman" w:cs="Times New Roman"/>
          <w:sz w:val="24"/>
          <w:szCs w:val="24"/>
        </w:rPr>
      </w:pPr>
    </w:p>
    <w:p w:rsidR="00152B1E" w:rsidRDefault="00152B1E" w:rsidP="001A3E79">
      <w:pPr>
        <w:spacing w:after="0" w:line="360" w:lineRule="auto"/>
        <w:jc w:val="both"/>
        <w:rPr>
          <w:rFonts w:ascii="Times New Roman" w:hAnsi="Times New Roman" w:cs="Times New Roman"/>
          <w:sz w:val="24"/>
          <w:szCs w:val="24"/>
        </w:rPr>
      </w:pPr>
    </w:p>
    <w:p w:rsidR="00152B1E" w:rsidRDefault="00152B1E" w:rsidP="001A3E79">
      <w:pPr>
        <w:spacing w:after="0" w:line="360" w:lineRule="auto"/>
        <w:jc w:val="both"/>
        <w:rPr>
          <w:rFonts w:ascii="Times New Roman" w:hAnsi="Times New Roman" w:cs="Times New Roman"/>
          <w:sz w:val="24"/>
          <w:szCs w:val="24"/>
        </w:rPr>
      </w:pPr>
    </w:p>
    <w:p w:rsidR="00152B1E" w:rsidRDefault="00152B1E" w:rsidP="001A3E79">
      <w:pPr>
        <w:spacing w:after="0" w:line="360" w:lineRule="auto"/>
        <w:jc w:val="both"/>
        <w:rPr>
          <w:rFonts w:ascii="Times New Roman" w:hAnsi="Times New Roman" w:cs="Times New Roman"/>
          <w:sz w:val="24"/>
          <w:szCs w:val="24"/>
        </w:rPr>
      </w:pPr>
    </w:p>
    <w:p w:rsidR="00152B1E" w:rsidRDefault="00152B1E" w:rsidP="001A3E79">
      <w:pPr>
        <w:spacing w:after="0" w:line="360" w:lineRule="auto"/>
        <w:jc w:val="both"/>
        <w:rPr>
          <w:rFonts w:ascii="Times New Roman" w:hAnsi="Times New Roman" w:cs="Times New Roman"/>
          <w:sz w:val="24"/>
          <w:szCs w:val="24"/>
        </w:rPr>
      </w:pPr>
    </w:p>
    <w:p w:rsidR="00152B1E" w:rsidRDefault="00152B1E" w:rsidP="001A3E79">
      <w:pPr>
        <w:spacing w:after="0" w:line="360" w:lineRule="auto"/>
        <w:jc w:val="both"/>
        <w:rPr>
          <w:rFonts w:ascii="Times New Roman" w:hAnsi="Times New Roman" w:cs="Times New Roman"/>
          <w:sz w:val="24"/>
          <w:szCs w:val="24"/>
        </w:rPr>
      </w:pPr>
    </w:p>
    <w:p w:rsidR="00152B1E" w:rsidRDefault="00152B1E" w:rsidP="001A3E79">
      <w:pPr>
        <w:spacing w:after="0" w:line="360" w:lineRule="auto"/>
        <w:jc w:val="both"/>
        <w:rPr>
          <w:rFonts w:ascii="Times New Roman" w:hAnsi="Times New Roman" w:cs="Times New Roman"/>
          <w:sz w:val="24"/>
          <w:szCs w:val="24"/>
        </w:rPr>
      </w:pPr>
    </w:p>
    <w:p w:rsidR="00152B1E" w:rsidRDefault="00152B1E" w:rsidP="001A3E79">
      <w:pPr>
        <w:spacing w:after="0" w:line="360" w:lineRule="auto"/>
        <w:jc w:val="both"/>
        <w:rPr>
          <w:rFonts w:ascii="Times New Roman" w:hAnsi="Times New Roman" w:cs="Times New Roman"/>
          <w:sz w:val="24"/>
          <w:szCs w:val="24"/>
        </w:rPr>
      </w:pPr>
    </w:p>
    <w:p w:rsidR="00152B1E" w:rsidRDefault="00152B1E" w:rsidP="001A3E79">
      <w:pPr>
        <w:spacing w:after="0" w:line="360" w:lineRule="auto"/>
        <w:jc w:val="both"/>
        <w:rPr>
          <w:rFonts w:ascii="Times New Roman" w:hAnsi="Times New Roman" w:cs="Times New Roman"/>
          <w:sz w:val="24"/>
          <w:szCs w:val="24"/>
        </w:rPr>
      </w:pPr>
    </w:p>
    <w:p w:rsidR="00152B1E" w:rsidRDefault="00152B1E" w:rsidP="001A3E79">
      <w:pPr>
        <w:spacing w:after="0" w:line="360" w:lineRule="auto"/>
        <w:jc w:val="both"/>
        <w:rPr>
          <w:rFonts w:ascii="Times New Roman" w:hAnsi="Times New Roman" w:cs="Times New Roman"/>
          <w:sz w:val="24"/>
          <w:szCs w:val="24"/>
        </w:rPr>
      </w:pPr>
    </w:p>
    <w:p w:rsidR="00152B1E" w:rsidRDefault="00152B1E" w:rsidP="001A3E79">
      <w:pPr>
        <w:spacing w:after="0" w:line="360" w:lineRule="auto"/>
        <w:jc w:val="both"/>
        <w:rPr>
          <w:rFonts w:ascii="Times New Roman" w:hAnsi="Times New Roman" w:cs="Times New Roman"/>
          <w:sz w:val="24"/>
          <w:szCs w:val="24"/>
        </w:rPr>
      </w:pPr>
    </w:p>
    <w:p w:rsidR="00152B1E" w:rsidRDefault="00152B1E" w:rsidP="001A3E79">
      <w:pPr>
        <w:spacing w:after="0" w:line="360" w:lineRule="auto"/>
        <w:jc w:val="both"/>
        <w:rPr>
          <w:rFonts w:ascii="Times New Roman" w:hAnsi="Times New Roman" w:cs="Times New Roman"/>
          <w:sz w:val="24"/>
          <w:szCs w:val="24"/>
        </w:rPr>
      </w:pPr>
    </w:p>
    <w:p w:rsidR="00152B1E" w:rsidRDefault="00152B1E" w:rsidP="001A3E79">
      <w:pPr>
        <w:spacing w:after="0" w:line="360" w:lineRule="auto"/>
        <w:jc w:val="both"/>
        <w:rPr>
          <w:rFonts w:ascii="Times New Roman" w:hAnsi="Times New Roman" w:cs="Times New Roman"/>
          <w:sz w:val="24"/>
          <w:szCs w:val="24"/>
        </w:rPr>
      </w:pPr>
    </w:p>
    <w:p w:rsidR="00152B1E" w:rsidRDefault="00152B1E" w:rsidP="001A3E79">
      <w:pPr>
        <w:spacing w:after="0" w:line="360" w:lineRule="auto"/>
        <w:jc w:val="both"/>
        <w:rPr>
          <w:rFonts w:ascii="Times New Roman" w:hAnsi="Times New Roman" w:cs="Times New Roman"/>
          <w:sz w:val="24"/>
          <w:szCs w:val="24"/>
        </w:rPr>
      </w:pPr>
    </w:p>
    <w:p w:rsidR="00152B1E" w:rsidRDefault="00152B1E" w:rsidP="001A3E79">
      <w:pPr>
        <w:spacing w:after="0" w:line="360" w:lineRule="auto"/>
        <w:jc w:val="both"/>
        <w:rPr>
          <w:rFonts w:ascii="Times New Roman" w:hAnsi="Times New Roman" w:cs="Times New Roman"/>
          <w:sz w:val="24"/>
          <w:szCs w:val="24"/>
        </w:rPr>
      </w:pPr>
    </w:p>
    <w:p w:rsidR="005D7393" w:rsidRDefault="00FF69D7" w:rsidP="001A3E79">
      <w:pPr>
        <w:spacing w:after="0" w:line="360" w:lineRule="auto"/>
        <w:jc w:val="both"/>
        <w:rPr>
          <w:rFonts w:ascii="Times New Roman" w:hAnsi="Times New Roman" w:cs="Times New Roman"/>
          <w:b/>
          <w:sz w:val="28"/>
          <w:szCs w:val="28"/>
        </w:rPr>
      </w:pPr>
      <w:r>
        <w:rPr>
          <w:rFonts w:ascii="Times New Roman" w:hAnsi="Times New Roman" w:cs="Times New Roman"/>
          <w:sz w:val="24"/>
          <w:szCs w:val="24"/>
        </w:rPr>
        <w:t xml:space="preserve"> </w:t>
      </w:r>
    </w:p>
    <w:p w:rsidR="006E3BC2" w:rsidRDefault="006E3BC2" w:rsidP="006E3BC2"/>
    <w:p w:rsidR="006E3BC2" w:rsidRDefault="006E3BC2" w:rsidP="006E3BC2"/>
    <w:p w:rsidR="006E3BC2" w:rsidRDefault="006E3BC2" w:rsidP="006E3BC2"/>
    <w:p w:rsidR="00152B1E" w:rsidRDefault="00152B1E" w:rsidP="006E3BC2">
      <w:pPr>
        <w:spacing w:after="0"/>
        <w:rPr>
          <w:rFonts w:ascii="Times New Roman" w:hAnsi="Times New Roman" w:cs="Times New Roman"/>
        </w:rPr>
      </w:pPr>
    </w:p>
    <w:p w:rsidR="00152B1E" w:rsidRDefault="00152B1E" w:rsidP="006E3BC2">
      <w:pPr>
        <w:spacing w:after="0"/>
        <w:rPr>
          <w:rFonts w:ascii="Times New Roman" w:hAnsi="Times New Roman" w:cs="Times New Roman"/>
        </w:rPr>
      </w:pPr>
    </w:p>
    <w:p w:rsidR="006E3BC2" w:rsidRPr="006E3BC2" w:rsidRDefault="006E3BC2" w:rsidP="006E3BC2">
      <w:pPr>
        <w:spacing w:after="0"/>
        <w:rPr>
          <w:rFonts w:ascii="Times New Roman" w:hAnsi="Times New Roman" w:cs="Times New Roman"/>
        </w:rPr>
      </w:pPr>
      <w:r w:rsidRPr="006E3BC2">
        <w:rPr>
          <w:rFonts w:ascii="Times New Roman" w:hAnsi="Times New Roman" w:cs="Times New Roman"/>
        </w:rPr>
        <w:t>Figure 1</w:t>
      </w:r>
    </w:p>
    <w:p w:rsidR="006E3BC2" w:rsidRPr="006E3BC2" w:rsidRDefault="006E3BC2" w:rsidP="006E3BC2">
      <w:pPr>
        <w:spacing w:after="0"/>
        <w:rPr>
          <w:rFonts w:ascii="Times New Roman" w:hAnsi="Times New Roman" w:cs="Times New Roman"/>
        </w:rPr>
      </w:pPr>
      <w:r w:rsidRPr="006E3BC2">
        <w:rPr>
          <w:rFonts w:ascii="Times New Roman" w:hAnsi="Times New Roman" w:cs="Times New Roman"/>
        </w:rPr>
        <w:t>Dr. Frank M. Aarestrup, Director</w:t>
      </w:r>
    </w:p>
    <w:p w:rsidR="006E3BC2" w:rsidRPr="006E3BC2" w:rsidRDefault="006E3BC2" w:rsidP="006E3BC2">
      <w:pPr>
        <w:spacing w:after="0"/>
        <w:rPr>
          <w:rFonts w:ascii="Times New Roman" w:hAnsi="Times New Roman" w:cs="Times New Roman"/>
        </w:rPr>
      </w:pPr>
      <w:r w:rsidRPr="006E3BC2">
        <w:rPr>
          <w:rFonts w:ascii="Times New Roman" w:hAnsi="Times New Roman" w:cs="Times New Roman"/>
        </w:rPr>
        <w:t>National Food Institute</w:t>
      </w:r>
    </w:p>
    <w:p w:rsidR="006E3BC2" w:rsidRDefault="006E3BC2" w:rsidP="006E3BC2">
      <w:pPr>
        <w:spacing w:after="0"/>
      </w:pPr>
      <w:r w:rsidRPr="006E3BC2">
        <w:rPr>
          <w:rFonts w:ascii="Times New Roman" w:hAnsi="Times New Roman" w:cs="Times New Roman"/>
        </w:rPr>
        <w:t>Technical University of Denmark</w:t>
      </w:r>
    </w:p>
    <w:p w:rsidR="006E3BC2" w:rsidRDefault="006E3BC2" w:rsidP="006E3BC2"/>
    <w:p w:rsidR="006E3BC2" w:rsidRDefault="006E3BC2" w:rsidP="006E3BC2"/>
    <w:p w:rsidR="005D7393" w:rsidRDefault="006E3BC2" w:rsidP="006E3BC2">
      <w:pPr>
        <w:spacing w:after="0"/>
      </w:pPr>
      <w:r>
        <w:rPr>
          <w:noProof/>
        </w:rPr>
        <w:drawing>
          <wp:inline distT="0" distB="0" distL="0" distR="0">
            <wp:extent cx="5895975" cy="37814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95975" cy="3781425"/>
                    </a:xfrm>
                    <a:prstGeom prst="rect">
                      <a:avLst/>
                    </a:prstGeom>
                    <a:noFill/>
                    <a:ln w="9525">
                      <a:noFill/>
                      <a:miter lim="800000"/>
                      <a:headEnd/>
                      <a:tailEnd/>
                    </a:ln>
                  </pic:spPr>
                </pic:pic>
              </a:graphicData>
            </a:graphic>
          </wp:inline>
        </w:drawing>
      </w:r>
    </w:p>
    <w:p w:rsidR="006E3BC2" w:rsidRDefault="006E3BC2" w:rsidP="006E3BC2">
      <w:pPr>
        <w:spacing w:after="0"/>
      </w:pPr>
    </w:p>
    <w:p w:rsidR="006E3BC2" w:rsidRDefault="006E3BC2" w:rsidP="006E3BC2">
      <w:pPr>
        <w:spacing w:after="0"/>
      </w:pPr>
    </w:p>
    <w:p w:rsidR="006E3BC2" w:rsidRDefault="006E3BC2" w:rsidP="006E3BC2">
      <w:pPr>
        <w:spacing w:after="0"/>
      </w:pPr>
    </w:p>
    <w:p w:rsidR="006E3BC2" w:rsidRDefault="006E3BC2" w:rsidP="006E3BC2">
      <w:pPr>
        <w:spacing w:after="0"/>
      </w:pPr>
    </w:p>
    <w:p w:rsidR="006E3BC2" w:rsidRDefault="006E3BC2" w:rsidP="006E3BC2">
      <w:pPr>
        <w:spacing w:after="0"/>
      </w:pPr>
    </w:p>
    <w:p w:rsidR="006E3BC2" w:rsidRDefault="006E3BC2" w:rsidP="006E3BC2">
      <w:pPr>
        <w:spacing w:after="0"/>
      </w:pPr>
    </w:p>
    <w:p w:rsidR="006E3BC2" w:rsidRDefault="006E3BC2" w:rsidP="006E3BC2">
      <w:pPr>
        <w:spacing w:after="0"/>
      </w:pPr>
    </w:p>
    <w:p w:rsidR="006E3BC2" w:rsidRDefault="006E3BC2" w:rsidP="006E3BC2">
      <w:pPr>
        <w:spacing w:after="0"/>
      </w:pPr>
    </w:p>
    <w:p w:rsidR="006E3BC2" w:rsidRDefault="006E3BC2" w:rsidP="006E3BC2">
      <w:pPr>
        <w:spacing w:after="0"/>
      </w:pPr>
    </w:p>
    <w:p w:rsidR="006E3BC2" w:rsidRDefault="006E3BC2" w:rsidP="006E3BC2">
      <w:pPr>
        <w:spacing w:after="0"/>
      </w:pPr>
    </w:p>
    <w:p w:rsidR="006E3BC2" w:rsidRDefault="006E3BC2" w:rsidP="006E3BC2">
      <w:pPr>
        <w:spacing w:after="0"/>
      </w:pPr>
    </w:p>
    <w:p w:rsidR="006E3BC2" w:rsidRDefault="006E3BC2" w:rsidP="006E3BC2">
      <w:pPr>
        <w:spacing w:after="0"/>
      </w:pPr>
    </w:p>
    <w:p w:rsidR="006E3BC2" w:rsidRDefault="006E3BC2" w:rsidP="006E3BC2">
      <w:pPr>
        <w:spacing w:after="0"/>
      </w:pPr>
    </w:p>
    <w:p w:rsidR="006E3BC2" w:rsidRDefault="006E3BC2" w:rsidP="006E3BC2">
      <w:pPr>
        <w:spacing w:after="0"/>
      </w:pPr>
    </w:p>
    <w:p w:rsidR="006E3BC2" w:rsidRDefault="006E3BC2" w:rsidP="006E3BC2">
      <w:pPr>
        <w:spacing w:after="0"/>
      </w:pPr>
    </w:p>
    <w:p w:rsidR="006E3BC2" w:rsidRDefault="006E3BC2" w:rsidP="006E3BC2">
      <w:pPr>
        <w:spacing w:after="0"/>
      </w:pPr>
    </w:p>
    <w:p w:rsidR="00152B1E" w:rsidRDefault="00152B1E" w:rsidP="006E3BC2">
      <w:pPr>
        <w:spacing w:after="0"/>
        <w:rPr>
          <w:rFonts w:ascii="Times New Roman" w:hAnsi="Times New Roman" w:cs="Times New Roman"/>
        </w:rPr>
      </w:pPr>
    </w:p>
    <w:p w:rsidR="006E3BC2" w:rsidRPr="00ED4569" w:rsidRDefault="006E3BC2" w:rsidP="006E3BC2">
      <w:pPr>
        <w:spacing w:after="0"/>
        <w:rPr>
          <w:rFonts w:ascii="Times New Roman" w:hAnsi="Times New Roman" w:cs="Times New Roman"/>
        </w:rPr>
      </w:pPr>
      <w:r w:rsidRPr="00ED4569">
        <w:rPr>
          <w:rFonts w:ascii="Times New Roman" w:hAnsi="Times New Roman" w:cs="Times New Roman"/>
        </w:rPr>
        <w:lastRenderedPageBreak/>
        <w:t>Figure 2</w:t>
      </w:r>
    </w:p>
    <w:p w:rsidR="006E3BC2" w:rsidRPr="00ED4569" w:rsidRDefault="006E3BC2" w:rsidP="006E3BC2">
      <w:pPr>
        <w:spacing w:after="0"/>
        <w:rPr>
          <w:rFonts w:ascii="Times New Roman" w:hAnsi="Times New Roman" w:cs="Times New Roman"/>
        </w:rPr>
      </w:pPr>
      <w:r w:rsidRPr="00ED4569">
        <w:rPr>
          <w:rFonts w:ascii="Times New Roman" w:hAnsi="Times New Roman" w:cs="Times New Roman"/>
        </w:rPr>
        <w:t>Dr. Frank M. Aarestrup, Director</w:t>
      </w:r>
    </w:p>
    <w:p w:rsidR="006E3BC2" w:rsidRPr="00ED4569" w:rsidRDefault="006E3BC2" w:rsidP="006E3BC2">
      <w:pPr>
        <w:spacing w:after="0"/>
        <w:rPr>
          <w:rFonts w:ascii="Times New Roman" w:hAnsi="Times New Roman" w:cs="Times New Roman"/>
        </w:rPr>
      </w:pPr>
      <w:r w:rsidRPr="00ED4569">
        <w:rPr>
          <w:rFonts w:ascii="Times New Roman" w:hAnsi="Times New Roman" w:cs="Times New Roman"/>
        </w:rPr>
        <w:t>National Food Institute</w:t>
      </w:r>
    </w:p>
    <w:p w:rsidR="006E3BC2" w:rsidRPr="00ED4569" w:rsidRDefault="006E3BC2" w:rsidP="006E3BC2">
      <w:pPr>
        <w:rPr>
          <w:rFonts w:ascii="Times New Roman" w:hAnsi="Times New Roman" w:cs="Times New Roman"/>
        </w:rPr>
      </w:pPr>
      <w:r w:rsidRPr="00ED4569">
        <w:rPr>
          <w:rFonts w:ascii="Times New Roman" w:hAnsi="Times New Roman" w:cs="Times New Roman"/>
        </w:rPr>
        <w:t>Technical University of Denmark</w:t>
      </w:r>
    </w:p>
    <w:p w:rsidR="006E3BC2" w:rsidRDefault="006E3BC2" w:rsidP="006E3BC2">
      <w:pPr>
        <w:spacing w:after="0"/>
      </w:pPr>
    </w:p>
    <w:p w:rsidR="006E3BC2" w:rsidRDefault="006E3BC2" w:rsidP="006E3BC2"/>
    <w:p w:rsidR="006E3BC2" w:rsidRDefault="006E3BC2" w:rsidP="006E3BC2">
      <w:r w:rsidRPr="00ED4569">
        <w:rPr>
          <w:noProof/>
        </w:rPr>
        <w:drawing>
          <wp:inline distT="0" distB="0" distL="0" distR="0">
            <wp:extent cx="5943600" cy="3945890"/>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321540" name="Picture 4"/>
                    <pic:cNvPicPr>
                      <a:picLocks noChangeAspect="1" noChangeArrowheads="1"/>
                    </pic:cNvPicPr>
                  </pic:nvPicPr>
                  <pic:blipFill>
                    <a:blip r:embed="rId9" cstate="print"/>
                    <a:srcRect/>
                    <a:stretch>
                      <a:fillRect/>
                    </a:stretch>
                  </pic:blipFill>
                  <pic:spPr bwMode="auto">
                    <a:xfrm>
                      <a:off x="0" y="0"/>
                      <a:ext cx="5943600" cy="3945890"/>
                    </a:xfrm>
                    <a:prstGeom prst="rect">
                      <a:avLst/>
                    </a:prstGeom>
                    <a:noFill/>
                    <a:ln w="9525">
                      <a:noFill/>
                      <a:miter lim="800000"/>
                      <a:headEnd/>
                      <a:tailEnd/>
                    </a:ln>
                  </pic:spPr>
                </pic:pic>
              </a:graphicData>
            </a:graphic>
          </wp:inline>
        </w:drawing>
      </w:r>
    </w:p>
    <w:p w:rsidR="006E3BC2" w:rsidRDefault="006E3BC2" w:rsidP="006E3BC2"/>
    <w:p w:rsidR="006E3BC2" w:rsidRDefault="006E3BC2" w:rsidP="006E3BC2"/>
    <w:p w:rsidR="006E3BC2" w:rsidRDefault="006E3BC2" w:rsidP="006E3BC2"/>
    <w:p w:rsidR="006E3BC2" w:rsidRDefault="006E3BC2" w:rsidP="006E3BC2"/>
    <w:p w:rsidR="006E3BC2" w:rsidRDefault="006E3BC2" w:rsidP="006E3BC2"/>
    <w:p w:rsidR="006E3BC2" w:rsidRDefault="006E3BC2" w:rsidP="006E3BC2"/>
    <w:p w:rsidR="006E3BC2" w:rsidRDefault="006E3BC2" w:rsidP="006E3BC2"/>
    <w:p w:rsidR="006E3BC2" w:rsidRDefault="006E3BC2" w:rsidP="006E3BC2"/>
    <w:p w:rsidR="006E3BC2" w:rsidRDefault="006E3BC2" w:rsidP="006E3BC2"/>
    <w:p w:rsidR="006E3BC2" w:rsidRDefault="006E3BC2" w:rsidP="006E3BC2"/>
    <w:p w:rsidR="006E3BC2" w:rsidRPr="006D0F70" w:rsidRDefault="006E3BC2" w:rsidP="006E3BC2">
      <w:pPr>
        <w:spacing w:after="0"/>
        <w:rPr>
          <w:rFonts w:ascii="Times New Roman" w:hAnsi="Times New Roman" w:cs="Times New Roman"/>
          <w:sz w:val="24"/>
          <w:szCs w:val="24"/>
        </w:rPr>
      </w:pPr>
      <w:r w:rsidRPr="006D0F70">
        <w:rPr>
          <w:rFonts w:ascii="Times New Roman" w:hAnsi="Times New Roman" w:cs="Times New Roman"/>
          <w:sz w:val="24"/>
          <w:szCs w:val="24"/>
        </w:rPr>
        <w:lastRenderedPageBreak/>
        <w:t>Figure 3</w:t>
      </w:r>
    </w:p>
    <w:p w:rsidR="006E3BC2" w:rsidRPr="006D0F70" w:rsidRDefault="006E3BC2" w:rsidP="006E3BC2">
      <w:pPr>
        <w:spacing w:after="0"/>
        <w:rPr>
          <w:rFonts w:ascii="Times New Roman" w:hAnsi="Times New Roman" w:cs="Times New Roman"/>
          <w:sz w:val="24"/>
          <w:szCs w:val="24"/>
        </w:rPr>
      </w:pPr>
      <w:r w:rsidRPr="006D0F70">
        <w:rPr>
          <w:rFonts w:ascii="Times New Roman" w:hAnsi="Times New Roman" w:cs="Times New Roman"/>
          <w:sz w:val="24"/>
          <w:szCs w:val="24"/>
        </w:rPr>
        <w:t>Dr. Frank M. Aarestrup, Director</w:t>
      </w:r>
    </w:p>
    <w:p w:rsidR="006E3BC2" w:rsidRPr="006D0F70" w:rsidRDefault="006E3BC2" w:rsidP="006E3BC2">
      <w:pPr>
        <w:spacing w:after="0"/>
        <w:rPr>
          <w:rFonts w:ascii="Times New Roman" w:hAnsi="Times New Roman" w:cs="Times New Roman"/>
          <w:sz w:val="24"/>
          <w:szCs w:val="24"/>
        </w:rPr>
      </w:pPr>
      <w:r w:rsidRPr="006D0F70">
        <w:rPr>
          <w:rFonts w:ascii="Times New Roman" w:hAnsi="Times New Roman" w:cs="Times New Roman"/>
          <w:sz w:val="24"/>
          <w:szCs w:val="24"/>
        </w:rPr>
        <w:t>National Food Institute</w:t>
      </w:r>
    </w:p>
    <w:p w:rsidR="006E3BC2" w:rsidRDefault="006E3BC2" w:rsidP="006E3BC2">
      <w:pPr>
        <w:rPr>
          <w:rFonts w:ascii="Times New Roman" w:hAnsi="Times New Roman" w:cs="Times New Roman"/>
          <w:sz w:val="24"/>
          <w:szCs w:val="24"/>
        </w:rPr>
      </w:pPr>
      <w:r w:rsidRPr="006D0F70">
        <w:rPr>
          <w:rFonts w:ascii="Times New Roman" w:hAnsi="Times New Roman" w:cs="Times New Roman"/>
          <w:sz w:val="24"/>
          <w:szCs w:val="24"/>
        </w:rPr>
        <w:t>Technical University of Denmark</w:t>
      </w:r>
    </w:p>
    <w:p w:rsidR="006E3BC2" w:rsidRDefault="006E3BC2" w:rsidP="006E3BC2">
      <w:pPr>
        <w:rPr>
          <w:rFonts w:ascii="Times New Roman" w:hAnsi="Times New Roman" w:cs="Times New Roman"/>
          <w:sz w:val="24"/>
          <w:szCs w:val="24"/>
        </w:rPr>
      </w:pPr>
    </w:p>
    <w:p w:rsidR="006E3BC2" w:rsidRPr="006D0F70" w:rsidRDefault="006E3BC2" w:rsidP="006E3BC2">
      <w:pPr>
        <w:rPr>
          <w:rFonts w:ascii="Times New Roman" w:hAnsi="Times New Roman" w:cs="Times New Roman"/>
          <w:sz w:val="24"/>
          <w:szCs w:val="24"/>
        </w:rPr>
      </w:pPr>
      <w:r w:rsidRPr="006D0F70">
        <w:rPr>
          <w:rFonts w:ascii="Times New Roman" w:hAnsi="Times New Roman" w:cs="Times New Roman"/>
          <w:noProof/>
          <w:sz w:val="24"/>
          <w:szCs w:val="24"/>
        </w:rPr>
        <w:drawing>
          <wp:inline distT="0" distB="0" distL="0" distR="0">
            <wp:extent cx="5943600" cy="4150360"/>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314371" name="Picture 3"/>
                    <pic:cNvPicPr>
                      <a:picLocks noChangeAspect="1" noChangeArrowheads="1"/>
                    </pic:cNvPicPr>
                  </pic:nvPicPr>
                  <pic:blipFill>
                    <a:blip r:embed="rId10" cstate="print"/>
                    <a:srcRect/>
                    <a:stretch>
                      <a:fillRect/>
                    </a:stretch>
                  </pic:blipFill>
                  <pic:spPr bwMode="auto">
                    <a:xfrm>
                      <a:off x="0" y="0"/>
                      <a:ext cx="5943600" cy="4150360"/>
                    </a:xfrm>
                    <a:prstGeom prst="rect">
                      <a:avLst/>
                    </a:prstGeom>
                    <a:noFill/>
                  </pic:spPr>
                </pic:pic>
              </a:graphicData>
            </a:graphic>
          </wp:inline>
        </w:drawing>
      </w:r>
    </w:p>
    <w:p w:rsidR="006E3BC2" w:rsidRDefault="006E3BC2" w:rsidP="006E3BC2">
      <w:pPr>
        <w:spacing w:after="0"/>
      </w:pPr>
    </w:p>
    <w:p w:rsidR="006E3BC2" w:rsidRDefault="006E3BC2" w:rsidP="006E3BC2"/>
    <w:p w:rsidR="006E3BC2" w:rsidRDefault="006E3BC2" w:rsidP="006E3BC2"/>
    <w:p w:rsidR="006E3BC2" w:rsidRDefault="006E3BC2" w:rsidP="006E3BC2"/>
    <w:p w:rsidR="006E3BC2" w:rsidRPr="00ED4569" w:rsidRDefault="006E3BC2" w:rsidP="006E3BC2">
      <w:pPr>
        <w:spacing w:after="0"/>
      </w:pPr>
    </w:p>
    <w:p w:rsidR="006E3BC2" w:rsidRDefault="006E3BC2" w:rsidP="006E3BC2">
      <w:pPr>
        <w:spacing w:after="0"/>
      </w:pPr>
    </w:p>
    <w:p w:rsidR="006E3BC2" w:rsidRDefault="006E3BC2" w:rsidP="006E3BC2">
      <w:pPr>
        <w:spacing w:after="0"/>
      </w:pPr>
    </w:p>
    <w:p w:rsidR="006E3BC2" w:rsidRDefault="006E3BC2" w:rsidP="006E3BC2">
      <w:pPr>
        <w:spacing w:after="0"/>
      </w:pPr>
    </w:p>
    <w:p w:rsidR="006E3BC2" w:rsidRDefault="006E3BC2" w:rsidP="006E3BC2">
      <w:pPr>
        <w:spacing w:after="0"/>
      </w:pPr>
    </w:p>
    <w:p w:rsidR="006E3BC2" w:rsidRDefault="006E3BC2" w:rsidP="006E3BC2">
      <w:pPr>
        <w:spacing w:after="0"/>
      </w:pPr>
    </w:p>
    <w:p w:rsidR="006E3BC2" w:rsidRDefault="006E3BC2" w:rsidP="006E3BC2">
      <w:pPr>
        <w:spacing w:after="0"/>
      </w:pPr>
    </w:p>
    <w:p w:rsidR="006E3BC2" w:rsidRDefault="006E3BC2" w:rsidP="006E3BC2">
      <w:pPr>
        <w:spacing w:after="0"/>
      </w:pPr>
    </w:p>
    <w:p w:rsidR="006E3BC2" w:rsidRDefault="006E3BC2" w:rsidP="006E3BC2">
      <w:pPr>
        <w:spacing w:after="0"/>
      </w:pPr>
    </w:p>
    <w:p w:rsidR="006E3BC2" w:rsidRDefault="006E3BC2" w:rsidP="006E3BC2">
      <w:pPr>
        <w:spacing w:after="0"/>
      </w:pPr>
    </w:p>
    <w:p w:rsidR="006E3BC2" w:rsidRPr="002D7BE2" w:rsidRDefault="006E3BC2" w:rsidP="006E3BC2">
      <w:pPr>
        <w:spacing w:after="0"/>
        <w:rPr>
          <w:rFonts w:ascii="Times New Roman" w:hAnsi="Times New Roman" w:cs="Times New Roman"/>
          <w:sz w:val="24"/>
          <w:szCs w:val="24"/>
        </w:rPr>
      </w:pPr>
      <w:r w:rsidRPr="002D7BE2">
        <w:rPr>
          <w:rFonts w:ascii="Times New Roman" w:hAnsi="Times New Roman" w:cs="Times New Roman"/>
          <w:sz w:val="24"/>
          <w:szCs w:val="24"/>
        </w:rPr>
        <w:lastRenderedPageBreak/>
        <w:t>Figure 4</w:t>
      </w:r>
    </w:p>
    <w:p w:rsidR="006E3BC2" w:rsidRPr="002D7BE2" w:rsidRDefault="006E3BC2" w:rsidP="006E3BC2">
      <w:pPr>
        <w:spacing w:after="0"/>
        <w:rPr>
          <w:rFonts w:ascii="Times New Roman" w:hAnsi="Times New Roman" w:cs="Times New Roman"/>
          <w:sz w:val="24"/>
          <w:szCs w:val="24"/>
        </w:rPr>
      </w:pPr>
      <w:r w:rsidRPr="002D7BE2">
        <w:rPr>
          <w:rFonts w:ascii="Times New Roman" w:hAnsi="Times New Roman" w:cs="Times New Roman"/>
          <w:sz w:val="24"/>
          <w:szCs w:val="24"/>
        </w:rPr>
        <w:t>Dr. Frank M. Aarestrup, Director</w:t>
      </w:r>
    </w:p>
    <w:p w:rsidR="006E3BC2" w:rsidRPr="002D7BE2" w:rsidRDefault="006E3BC2" w:rsidP="006E3BC2">
      <w:pPr>
        <w:spacing w:after="0"/>
        <w:rPr>
          <w:rFonts w:ascii="Times New Roman" w:hAnsi="Times New Roman" w:cs="Times New Roman"/>
          <w:sz w:val="24"/>
          <w:szCs w:val="24"/>
        </w:rPr>
      </w:pPr>
      <w:r w:rsidRPr="002D7BE2">
        <w:rPr>
          <w:rFonts w:ascii="Times New Roman" w:hAnsi="Times New Roman" w:cs="Times New Roman"/>
          <w:sz w:val="24"/>
          <w:szCs w:val="24"/>
        </w:rPr>
        <w:t>National Food Institute</w:t>
      </w:r>
    </w:p>
    <w:p w:rsidR="006E3BC2" w:rsidRDefault="006E3BC2" w:rsidP="006E3BC2">
      <w:pPr>
        <w:rPr>
          <w:rFonts w:ascii="Times New Roman" w:hAnsi="Times New Roman" w:cs="Times New Roman"/>
          <w:sz w:val="24"/>
          <w:szCs w:val="24"/>
        </w:rPr>
      </w:pPr>
      <w:r w:rsidRPr="002D7BE2">
        <w:rPr>
          <w:rFonts w:ascii="Times New Roman" w:hAnsi="Times New Roman" w:cs="Times New Roman"/>
          <w:sz w:val="24"/>
          <w:szCs w:val="24"/>
        </w:rPr>
        <w:t>Technical University of Denmark</w:t>
      </w:r>
    </w:p>
    <w:p w:rsidR="0003166C" w:rsidRDefault="0003166C" w:rsidP="006E3BC2">
      <w:pPr>
        <w:rPr>
          <w:rFonts w:ascii="Times New Roman" w:hAnsi="Times New Roman" w:cs="Times New Roman"/>
          <w:sz w:val="24"/>
          <w:szCs w:val="24"/>
        </w:rPr>
      </w:pPr>
    </w:p>
    <w:p w:rsidR="006E3BC2" w:rsidRPr="002D7BE2" w:rsidRDefault="006E3BC2" w:rsidP="006E3BC2">
      <w:pPr>
        <w:rPr>
          <w:rFonts w:ascii="Times New Roman" w:hAnsi="Times New Roman" w:cs="Times New Roman"/>
          <w:sz w:val="24"/>
          <w:szCs w:val="24"/>
        </w:rPr>
      </w:pPr>
    </w:p>
    <w:p w:rsidR="006E3BC2" w:rsidRDefault="006E3BC2" w:rsidP="006E3BC2">
      <w:pPr>
        <w:spacing w:after="0"/>
      </w:pPr>
      <w:r>
        <w:rPr>
          <w:noProof/>
        </w:rPr>
        <w:drawing>
          <wp:anchor distT="0" distB="0" distL="114300" distR="114300" simplePos="0" relativeHeight="251661312" behindDoc="0" locked="0" layoutInCell="1" allowOverlap="1">
            <wp:simplePos x="0" y="0"/>
            <wp:positionH relativeFrom="column">
              <wp:posOffset>-57150</wp:posOffset>
            </wp:positionH>
            <wp:positionV relativeFrom="paragraph">
              <wp:posOffset>29210</wp:posOffset>
            </wp:positionV>
            <wp:extent cx="6096000" cy="3705225"/>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096000" cy="3705225"/>
                    </a:xfrm>
                    <a:prstGeom prst="rect">
                      <a:avLst/>
                    </a:prstGeom>
                    <a:noFill/>
                    <a:ln w="9525">
                      <a:noFill/>
                      <a:miter lim="800000"/>
                      <a:headEnd/>
                      <a:tailEnd/>
                    </a:ln>
                  </pic:spPr>
                </pic:pic>
              </a:graphicData>
            </a:graphic>
          </wp:anchor>
        </w:drawing>
      </w:r>
    </w:p>
    <w:p w:rsidR="006E3BC2" w:rsidRDefault="006E3BC2" w:rsidP="006E3BC2">
      <w:pPr>
        <w:spacing w:after="0"/>
      </w:pPr>
    </w:p>
    <w:p w:rsidR="006E3BC2" w:rsidRDefault="006E3BC2"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Pr="002D7BE2" w:rsidRDefault="0003166C" w:rsidP="0003166C">
      <w:pPr>
        <w:spacing w:after="0"/>
        <w:rPr>
          <w:rFonts w:ascii="Times New Roman" w:hAnsi="Times New Roman" w:cs="Times New Roman"/>
          <w:sz w:val="24"/>
          <w:szCs w:val="24"/>
        </w:rPr>
      </w:pPr>
      <w:r w:rsidRPr="002D7BE2">
        <w:rPr>
          <w:rFonts w:ascii="Times New Roman" w:hAnsi="Times New Roman" w:cs="Times New Roman"/>
          <w:sz w:val="24"/>
          <w:szCs w:val="24"/>
        </w:rPr>
        <w:t xml:space="preserve">Figure </w:t>
      </w:r>
      <w:r>
        <w:rPr>
          <w:rFonts w:ascii="Times New Roman" w:hAnsi="Times New Roman" w:cs="Times New Roman"/>
          <w:sz w:val="24"/>
          <w:szCs w:val="24"/>
        </w:rPr>
        <w:t>5</w:t>
      </w:r>
    </w:p>
    <w:p w:rsidR="0003166C" w:rsidRPr="002D7BE2" w:rsidRDefault="0003166C" w:rsidP="0003166C">
      <w:pPr>
        <w:spacing w:after="0"/>
        <w:rPr>
          <w:rFonts w:ascii="Times New Roman" w:hAnsi="Times New Roman" w:cs="Times New Roman"/>
          <w:sz w:val="24"/>
          <w:szCs w:val="24"/>
        </w:rPr>
      </w:pPr>
      <w:r w:rsidRPr="002D7BE2">
        <w:rPr>
          <w:rFonts w:ascii="Times New Roman" w:hAnsi="Times New Roman" w:cs="Times New Roman"/>
          <w:sz w:val="24"/>
          <w:szCs w:val="24"/>
        </w:rPr>
        <w:t>Dr. Frank M. Aarestrup, Director</w:t>
      </w:r>
    </w:p>
    <w:p w:rsidR="0003166C" w:rsidRPr="002D7BE2" w:rsidRDefault="0003166C" w:rsidP="0003166C">
      <w:pPr>
        <w:spacing w:after="0"/>
        <w:rPr>
          <w:rFonts w:ascii="Times New Roman" w:hAnsi="Times New Roman" w:cs="Times New Roman"/>
          <w:sz w:val="24"/>
          <w:szCs w:val="24"/>
        </w:rPr>
      </w:pPr>
      <w:r w:rsidRPr="002D7BE2">
        <w:rPr>
          <w:rFonts w:ascii="Times New Roman" w:hAnsi="Times New Roman" w:cs="Times New Roman"/>
          <w:sz w:val="24"/>
          <w:szCs w:val="24"/>
        </w:rPr>
        <w:t>National Food Institute</w:t>
      </w:r>
    </w:p>
    <w:p w:rsidR="0003166C" w:rsidRDefault="0003166C" w:rsidP="0003166C">
      <w:pPr>
        <w:rPr>
          <w:rFonts w:ascii="Times New Roman" w:hAnsi="Times New Roman" w:cs="Times New Roman"/>
          <w:sz w:val="24"/>
          <w:szCs w:val="24"/>
        </w:rPr>
      </w:pPr>
      <w:r w:rsidRPr="002D7BE2">
        <w:rPr>
          <w:rFonts w:ascii="Times New Roman" w:hAnsi="Times New Roman" w:cs="Times New Roman"/>
          <w:sz w:val="24"/>
          <w:szCs w:val="24"/>
        </w:rPr>
        <w:t>Technical University of Denmark</w:t>
      </w:r>
    </w:p>
    <w:p w:rsidR="0003166C" w:rsidRPr="002D7BE2" w:rsidRDefault="0003166C" w:rsidP="0003166C">
      <w:pPr>
        <w:rPr>
          <w:rFonts w:ascii="Times New Roman" w:hAnsi="Times New Roman" w:cs="Times New Roman"/>
          <w:sz w:val="24"/>
          <w:szCs w:val="24"/>
        </w:rPr>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r>
        <w:rPr>
          <w:noProof/>
        </w:rPr>
        <w:drawing>
          <wp:anchor distT="0" distB="0" distL="114300" distR="114300" simplePos="0" relativeHeight="251663360" behindDoc="0" locked="0" layoutInCell="1" allowOverlap="1">
            <wp:simplePos x="0" y="0"/>
            <wp:positionH relativeFrom="column">
              <wp:posOffset>-57150</wp:posOffset>
            </wp:positionH>
            <wp:positionV relativeFrom="paragraph">
              <wp:posOffset>15240</wp:posOffset>
            </wp:positionV>
            <wp:extent cx="5934075" cy="3590925"/>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34075" cy="3590925"/>
                    </a:xfrm>
                    <a:prstGeom prst="rect">
                      <a:avLst/>
                    </a:prstGeom>
                    <a:noFill/>
                    <a:ln w="9525">
                      <a:noFill/>
                      <a:miter lim="800000"/>
                      <a:headEnd/>
                      <a:tailEnd/>
                    </a:ln>
                  </pic:spPr>
                </pic:pic>
              </a:graphicData>
            </a:graphic>
          </wp:anchor>
        </w:drawing>
      </w: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6E3BC2">
      <w:pPr>
        <w:spacing w:after="0"/>
      </w:pPr>
    </w:p>
    <w:p w:rsidR="0003166C" w:rsidRDefault="0003166C" w:rsidP="0003166C">
      <w:pPr>
        <w:spacing w:after="0"/>
        <w:rPr>
          <w:rFonts w:ascii="Times New Roman" w:hAnsi="Times New Roman" w:cs="Times New Roman"/>
          <w:sz w:val="24"/>
          <w:szCs w:val="24"/>
        </w:rPr>
      </w:pPr>
      <w:r>
        <w:rPr>
          <w:rFonts w:ascii="Times New Roman" w:hAnsi="Times New Roman" w:cs="Times New Roman"/>
          <w:sz w:val="24"/>
          <w:szCs w:val="24"/>
        </w:rPr>
        <w:t>Figure 6</w:t>
      </w:r>
    </w:p>
    <w:p w:rsidR="0003166C" w:rsidRDefault="0003166C" w:rsidP="0003166C">
      <w:pPr>
        <w:spacing w:after="0"/>
        <w:rPr>
          <w:rFonts w:ascii="Times New Roman" w:hAnsi="Times New Roman" w:cs="Times New Roman"/>
          <w:sz w:val="24"/>
          <w:szCs w:val="24"/>
        </w:rPr>
      </w:pPr>
      <w:r>
        <w:rPr>
          <w:rFonts w:ascii="Times New Roman" w:hAnsi="Times New Roman" w:cs="Times New Roman"/>
          <w:sz w:val="24"/>
          <w:szCs w:val="24"/>
        </w:rPr>
        <w:t>Dr. Frank M. Aarestrup, Director</w:t>
      </w:r>
    </w:p>
    <w:p w:rsidR="0003166C" w:rsidRDefault="0003166C" w:rsidP="0003166C">
      <w:pPr>
        <w:spacing w:after="0"/>
        <w:rPr>
          <w:rFonts w:ascii="Times New Roman" w:hAnsi="Times New Roman" w:cs="Times New Roman"/>
          <w:sz w:val="24"/>
          <w:szCs w:val="24"/>
        </w:rPr>
      </w:pPr>
      <w:r>
        <w:rPr>
          <w:rFonts w:ascii="Times New Roman" w:hAnsi="Times New Roman" w:cs="Times New Roman"/>
          <w:sz w:val="24"/>
          <w:szCs w:val="24"/>
        </w:rPr>
        <w:t>National Food Institute</w:t>
      </w:r>
    </w:p>
    <w:p w:rsidR="0003166C" w:rsidRDefault="0003166C" w:rsidP="0003166C">
      <w:pPr>
        <w:spacing w:after="0"/>
        <w:rPr>
          <w:rFonts w:ascii="Times New Roman" w:hAnsi="Times New Roman" w:cs="Times New Roman"/>
          <w:sz w:val="24"/>
          <w:szCs w:val="24"/>
        </w:rPr>
      </w:pPr>
      <w:r>
        <w:rPr>
          <w:rFonts w:ascii="Times New Roman" w:hAnsi="Times New Roman" w:cs="Times New Roman"/>
          <w:sz w:val="24"/>
          <w:szCs w:val="24"/>
        </w:rPr>
        <w:t>Technical University of Denmark</w:t>
      </w:r>
    </w:p>
    <w:p w:rsidR="0003166C" w:rsidRDefault="0003166C" w:rsidP="006E3BC2">
      <w:pPr>
        <w:spacing w:after="0"/>
      </w:pPr>
    </w:p>
    <w:p w:rsidR="0003166C" w:rsidRDefault="0003166C" w:rsidP="006E3BC2">
      <w:pPr>
        <w:spacing w:after="0"/>
      </w:pPr>
    </w:p>
    <w:p w:rsidR="0003166C" w:rsidRDefault="0003166C" w:rsidP="006E3BC2">
      <w:pPr>
        <w:spacing w:after="0"/>
      </w:pPr>
    </w:p>
    <w:p w:rsidR="001621EB" w:rsidRDefault="001621EB" w:rsidP="006E3BC2">
      <w:pPr>
        <w:spacing w:after="0"/>
      </w:pPr>
    </w:p>
    <w:p w:rsidR="001621EB" w:rsidRDefault="001621EB">
      <w:r>
        <w:rPr>
          <w:noProof/>
        </w:rPr>
        <w:drawing>
          <wp:anchor distT="0" distB="0" distL="114300" distR="114300" simplePos="0" relativeHeight="251665408" behindDoc="0" locked="0" layoutInCell="1" allowOverlap="1">
            <wp:simplePos x="0" y="0"/>
            <wp:positionH relativeFrom="column">
              <wp:posOffset>-57150</wp:posOffset>
            </wp:positionH>
            <wp:positionV relativeFrom="paragraph">
              <wp:posOffset>165735</wp:posOffset>
            </wp:positionV>
            <wp:extent cx="5934075" cy="3724275"/>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34075" cy="3724275"/>
                    </a:xfrm>
                    <a:prstGeom prst="rect">
                      <a:avLst/>
                    </a:prstGeom>
                    <a:noFill/>
                    <a:ln w="9525">
                      <a:noFill/>
                      <a:miter lim="800000"/>
                      <a:headEnd/>
                      <a:tailEnd/>
                    </a:ln>
                  </pic:spPr>
                </pic:pic>
              </a:graphicData>
            </a:graphic>
          </wp:anchor>
        </w:drawing>
      </w:r>
      <w:r>
        <w:br w:type="page"/>
      </w:r>
    </w:p>
    <w:p w:rsidR="0003166C" w:rsidRDefault="001621EB" w:rsidP="006E3BC2">
      <w:pPr>
        <w:spacing w:after="0"/>
      </w:pPr>
      <w:r w:rsidRPr="001621EB">
        <w:rPr>
          <w:noProof/>
        </w:rPr>
        <w:lastRenderedPageBreak/>
        <w:drawing>
          <wp:inline distT="0" distB="0" distL="0" distR="0">
            <wp:extent cx="3429000" cy="882650"/>
            <wp:effectExtent l="19050" t="0" r="0" b="0"/>
            <wp:docPr id="12" name="Picture 0" descr="PCIFAP_logo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IFAP_logo_cmyk.tif"/>
                    <pic:cNvPicPr/>
                  </pic:nvPicPr>
                  <pic:blipFill>
                    <a:blip r:embed="rId14" cstate="print"/>
                    <a:stretch>
                      <a:fillRect/>
                    </a:stretch>
                  </pic:blipFill>
                  <pic:spPr>
                    <a:xfrm>
                      <a:off x="0" y="0"/>
                      <a:ext cx="3433286" cy="883753"/>
                    </a:xfrm>
                    <a:prstGeom prst="rect">
                      <a:avLst/>
                    </a:prstGeom>
                  </pic:spPr>
                </pic:pic>
              </a:graphicData>
            </a:graphic>
          </wp:inline>
        </w:drawing>
      </w:r>
    </w:p>
    <w:p w:rsidR="001621EB" w:rsidRDefault="001621EB" w:rsidP="006E3BC2">
      <w:pPr>
        <w:spacing w:after="0"/>
      </w:pPr>
    </w:p>
    <w:p w:rsidR="001621EB" w:rsidRDefault="001621EB" w:rsidP="006E3BC2">
      <w:pPr>
        <w:spacing w:after="0"/>
      </w:pP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 xml:space="preserve">The Pew Commission on Industrial Farm Animal Production (PCFIAP)  was a two-year study funded by The Pew Charitable Trusts through a grant to Johns Hopkins Bloomberg School of Public Health. </w:t>
      </w:r>
    </w:p>
    <w:p w:rsidR="001621EB" w:rsidRPr="0070154D" w:rsidRDefault="001621EB" w:rsidP="001621EB">
      <w:pPr>
        <w:autoSpaceDE w:val="0"/>
        <w:autoSpaceDN w:val="0"/>
        <w:adjustRightInd w:val="0"/>
        <w:spacing w:after="0" w:line="240" w:lineRule="auto"/>
        <w:rPr>
          <w:rFonts w:ascii="AGaramond-Regular" w:hAnsi="AGaramond-Regular" w:cs="AGaramond-Regular"/>
          <w:sz w:val="24"/>
          <w:szCs w:val="24"/>
        </w:rPr>
      </w:pPr>
    </w:p>
    <w:p w:rsidR="001621EB" w:rsidRPr="0070154D" w:rsidRDefault="001621EB" w:rsidP="001621EB">
      <w:pPr>
        <w:autoSpaceDE w:val="0"/>
        <w:autoSpaceDN w:val="0"/>
        <w:adjustRightInd w:val="0"/>
        <w:spacing w:after="0" w:line="240" w:lineRule="auto"/>
        <w:rPr>
          <w:rFonts w:ascii="Avenir-Black" w:hAnsi="Avenir-Black" w:cs="Avenir-Black"/>
          <w:b/>
          <w:sz w:val="24"/>
          <w:szCs w:val="24"/>
        </w:rPr>
      </w:pPr>
      <w:r w:rsidRPr="0070154D">
        <w:rPr>
          <w:rFonts w:ascii="Avenir-Black" w:hAnsi="Avenir-Black" w:cs="Avenir-Black"/>
          <w:b/>
          <w:sz w:val="24"/>
          <w:szCs w:val="24"/>
        </w:rPr>
        <w:t>PCIFAP Commissioners</w:t>
      </w:r>
    </w:p>
    <w:p w:rsidR="001621EB" w:rsidRPr="0070154D" w:rsidRDefault="001621EB" w:rsidP="001621EB">
      <w:pPr>
        <w:autoSpaceDE w:val="0"/>
        <w:autoSpaceDN w:val="0"/>
        <w:adjustRightInd w:val="0"/>
        <w:spacing w:after="0" w:line="240" w:lineRule="auto"/>
        <w:rPr>
          <w:rFonts w:ascii="AGaramond-Regular" w:hAnsi="AGaramond-Regular" w:cs="AGaramond-Regular"/>
          <w:sz w:val="24"/>
          <w:szCs w:val="24"/>
        </w:rPr>
      </w:pP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Brother David Andrews, CSC, JD</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Coordinator for Peace and Justice</w:t>
      </w:r>
      <w:r>
        <w:rPr>
          <w:rFonts w:ascii="Times New Roman" w:hAnsi="Times New Roman" w:cs="Times New Roman"/>
          <w:sz w:val="24"/>
          <w:szCs w:val="24"/>
        </w:rPr>
        <w:t xml:space="preserve"> </w:t>
      </w:r>
      <w:r w:rsidRPr="0070154D">
        <w:rPr>
          <w:rFonts w:ascii="Times New Roman" w:hAnsi="Times New Roman" w:cs="Times New Roman"/>
          <w:sz w:val="24"/>
          <w:szCs w:val="24"/>
        </w:rPr>
        <w:t>of the Congregation of Holy Cross</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Former Executive Director</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National Catholic Rural Life</w:t>
      </w:r>
      <w:r>
        <w:rPr>
          <w:rFonts w:ascii="Times New Roman" w:hAnsi="Times New Roman" w:cs="Times New Roman"/>
          <w:sz w:val="24"/>
          <w:szCs w:val="24"/>
        </w:rPr>
        <w:t xml:space="preserve"> </w:t>
      </w:r>
      <w:r w:rsidRPr="0070154D">
        <w:rPr>
          <w:rFonts w:ascii="Times New Roman" w:hAnsi="Times New Roman" w:cs="Times New Roman"/>
          <w:sz w:val="24"/>
          <w:szCs w:val="24"/>
        </w:rPr>
        <w:t>Conference</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John Carlin, Chair</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Executive-in-residence</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Kansas State University</w:t>
      </w:r>
    </w:p>
    <w:p w:rsidR="001621EB"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Archivist of the United States</w:t>
      </w:r>
      <w:r>
        <w:rPr>
          <w:rFonts w:ascii="Times New Roman" w:hAnsi="Times New Roman" w:cs="Times New Roman"/>
          <w:sz w:val="24"/>
          <w:szCs w:val="24"/>
        </w:rPr>
        <w:t xml:space="preserve"> </w:t>
      </w:r>
      <w:r w:rsidRPr="0070154D">
        <w:rPr>
          <w:rFonts w:ascii="Times New Roman" w:hAnsi="Times New Roman" w:cs="Times New Roman"/>
          <w:sz w:val="24"/>
          <w:szCs w:val="24"/>
        </w:rPr>
        <w:t xml:space="preserve">(1995–2005) </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Governor of Kansas</w:t>
      </w:r>
      <w:r>
        <w:rPr>
          <w:rFonts w:ascii="Times New Roman" w:hAnsi="Times New Roman" w:cs="Times New Roman"/>
          <w:sz w:val="24"/>
          <w:szCs w:val="24"/>
        </w:rPr>
        <w:t xml:space="preserve"> </w:t>
      </w:r>
      <w:r w:rsidRPr="0070154D">
        <w:rPr>
          <w:rFonts w:ascii="Times New Roman" w:hAnsi="Times New Roman" w:cs="Times New Roman"/>
          <w:sz w:val="24"/>
          <w:szCs w:val="24"/>
        </w:rPr>
        <w:t>(1979–1987)</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Michael Blackwell, DVM, MPH,</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Assistant Surgeon General, USPHS ( ret. )</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President and CEO</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 xml:space="preserve">Blackwell Consulting, </w:t>
      </w:r>
      <w:r>
        <w:rPr>
          <w:rFonts w:ascii="Times New Roman" w:hAnsi="Times New Roman" w:cs="Times New Roman"/>
          <w:sz w:val="24"/>
          <w:szCs w:val="24"/>
        </w:rPr>
        <w:t>LLC</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Fedele Bauccio, MBA</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Co-founder and CEO</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Bon Appétit Management Company</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Tom Dempster</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State Senator, South Dakota</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Dan Glickman, JD</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Former U</w:t>
      </w:r>
      <w:r>
        <w:rPr>
          <w:rFonts w:ascii="Times New Roman" w:hAnsi="Times New Roman" w:cs="Times New Roman"/>
          <w:sz w:val="24"/>
          <w:szCs w:val="24"/>
        </w:rPr>
        <w:t>.</w:t>
      </w:r>
      <w:r w:rsidRPr="0070154D">
        <w:rPr>
          <w:rFonts w:ascii="Times New Roman" w:hAnsi="Times New Roman" w:cs="Times New Roman"/>
          <w:sz w:val="24"/>
          <w:szCs w:val="24"/>
        </w:rPr>
        <w:t>S</w:t>
      </w:r>
      <w:r>
        <w:rPr>
          <w:rFonts w:ascii="Times New Roman" w:hAnsi="Times New Roman" w:cs="Times New Roman"/>
          <w:sz w:val="24"/>
          <w:szCs w:val="24"/>
        </w:rPr>
        <w:t>.</w:t>
      </w:r>
      <w:r w:rsidRPr="0070154D">
        <w:rPr>
          <w:rFonts w:ascii="Times New Roman" w:hAnsi="Times New Roman" w:cs="Times New Roman"/>
          <w:sz w:val="24"/>
          <w:szCs w:val="24"/>
        </w:rPr>
        <w:t xml:space="preserve"> Secretary of Agriculture</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Chairman and CEO</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Motion Picture Association of America</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Alan M. Goldberg, PhD</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Professor</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Johns Hopkins Bloomberg School</w:t>
      </w:r>
      <w:r>
        <w:rPr>
          <w:rFonts w:ascii="Times New Roman" w:hAnsi="Times New Roman" w:cs="Times New Roman"/>
          <w:sz w:val="24"/>
          <w:szCs w:val="24"/>
        </w:rPr>
        <w:t xml:space="preserve"> </w:t>
      </w:r>
      <w:r w:rsidRPr="0070154D">
        <w:rPr>
          <w:rFonts w:ascii="Times New Roman" w:hAnsi="Times New Roman" w:cs="Times New Roman"/>
          <w:sz w:val="24"/>
          <w:szCs w:val="24"/>
        </w:rPr>
        <w:t>of Public Health</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John Hatch, D</w:t>
      </w:r>
      <w:r>
        <w:rPr>
          <w:rFonts w:ascii="Times New Roman" w:hAnsi="Times New Roman" w:cs="Times New Roman"/>
          <w:sz w:val="24"/>
          <w:szCs w:val="24"/>
        </w:rPr>
        <w:t>r</w:t>
      </w:r>
      <w:r w:rsidRPr="0070154D">
        <w:rPr>
          <w:rFonts w:ascii="Times New Roman" w:hAnsi="Times New Roman" w:cs="Times New Roman"/>
          <w:sz w:val="24"/>
          <w:szCs w:val="24"/>
        </w:rPr>
        <w:t>PH</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Kenan Professor Emeritus</w:t>
      </w:r>
    </w:p>
    <w:p w:rsidR="001621EB"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University of North Carolina at</w:t>
      </w:r>
      <w:r>
        <w:rPr>
          <w:rFonts w:ascii="Times New Roman" w:hAnsi="Times New Roman" w:cs="Times New Roman"/>
          <w:sz w:val="24"/>
          <w:szCs w:val="24"/>
        </w:rPr>
        <w:t xml:space="preserve"> </w:t>
      </w:r>
      <w:r w:rsidRPr="0070154D">
        <w:rPr>
          <w:rFonts w:ascii="Times New Roman" w:hAnsi="Times New Roman" w:cs="Times New Roman"/>
          <w:sz w:val="24"/>
          <w:szCs w:val="24"/>
        </w:rPr>
        <w:t xml:space="preserve">Chapel Hill </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School of Public Health</w:t>
      </w:r>
    </w:p>
    <w:p w:rsidR="001621EB" w:rsidRDefault="001621EB" w:rsidP="001621EB">
      <w:pPr>
        <w:autoSpaceDE w:val="0"/>
        <w:autoSpaceDN w:val="0"/>
        <w:adjustRightInd w:val="0"/>
        <w:spacing w:after="0" w:line="240" w:lineRule="auto"/>
        <w:rPr>
          <w:rFonts w:ascii="Times New Roman" w:hAnsi="Times New Roman" w:cs="Times New Roman"/>
          <w:sz w:val="24"/>
          <w:szCs w:val="24"/>
        </w:rPr>
      </w:pPr>
    </w:p>
    <w:p w:rsidR="001621EB" w:rsidRDefault="001621EB" w:rsidP="001621EB">
      <w:pPr>
        <w:autoSpaceDE w:val="0"/>
        <w:autoSpaceDN w:val="0"/>
        <w:adjustRightInd w:val="0"/>
        <w:spacing w:after="0" w:line="240" w:lineRule="auto"/>
        <w:rPr>
          <w:rFonts w:ascii="Times New Roman" w:hAnsi="Times New Roman" w:cs="Times New Roman"/>
          <w:sz w:val="24"/>
          <w:szCs w:val="24"/>
        </w:rPr>
      </w:pPr>
    </w:p>
    <w:p w:rsidR="001621EB" w:rsidRDefault="001621EB" w:rsidP="001621E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PCIFAP Commissioners continued</w:t>
      </w:r>
    </w:p>
    <w:p w:rsidR="001621EB" w:rsidRDefault="001621EB" w:rsidP="001621EB">
      <w:pPr>
        <w:autoSpaceDE w:val="0"/>
        <w:autoSpaceDN w:val="0"/>
        <w:adjustRightInd w:val="0"/>
        <w:spacing w:after="0" w:line="240" w:lineRule="auto"/>
        <w:rPr>
          <w:rFonts w:ascii="Times New Roman" w:hAnsi="Times New Roman" w:cs="Times New Roman"/>
          <w:sz w:val="24"/>
          <w:szCs w:val="24"/>
        </w:rPr>
      </w:pPr>
    </w:p>
    <w:p w:rsidR="001621EB" w:rsidRDefault="001621EB" w:rsidP="001621EB">
      <w:pPr>
        <w:autoSpaceDE w:val="0"/>
        <w:autoSpaceDN w:val="0"/>
        <w:adjustRightInd w:val="0"/>
        <w:spacing w:after="0" w:line="240" w:lineRule="auto"/>
        <w:rPr>
          <w:rFonts w:ascii="Times New Roman" w:hAnsi="Times New Roman" w:cs="Times New Roman"/>
          <w:sz w:val="24"/>
          <w:szCs w:val="24"/>
        </w:rPr>
      </w:pP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Dan Jackson</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Montana </w:t>
      </w:r>
      <w:r w:rsidRPr="0070154D">
        <w:rPr>
          <w:rFonts w:ascii="Times New Roman" w:hAnsi="Times New Roman" w:cs="Times New Roman"/>
          <w:sz w:val="24"/>
          <w:szCs w:val="24"/>
        </w:rPr>
        <w:t>Cattle Rancher</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Frederick Kirschenmann, PhD</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Distinguished Fellow</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Leopold Center for Sustainable</w:t>
      </w:r>
      <w:r>
        <w:rPr>
          <w:rFonts w:ascii="Times New Roman" w:hAnsi="Times New Roman" w:cs="Times New Roman"/>
          <w:sz w:val="24"/>
          <w:szCs w:val="24"/>
        </w:rPr>
        <w:t xml:space="preserve"> </w:t>
      </w:r>
      <w:r w:rsidRPr="0070154D">
        <w:rPr>
          <w:rFonts w:ascii="Times New Roman" w:hAnsi="Times New Roman" w:cs="Times New Roman"/>
          <w:sz w:val="24"/>
          <w:szCs w:val="24"/>
        </w:rPr>
        <w:t>Agriculture</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Iowa State University</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James Merchant, MD, DrPH</w:t>
      </w:r>
      <w:r>
        <w:rPr>
          <w:rFonts w:ascii="Times New Roman" w:hAnsi="Times New Roman" w:cs="Times New Roman"/>
          <w:sz w:val="24"/>
          <w:szCs w:val="24"/>
        </w:rPr>
        <w:t>, former Dean</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University of Iowa College</w:t>
      </w:r>
      <w:r>
        <w:rPr>
          <w:rFonts w:ascii="Times New Roman" w:hAnsi="Times New Roman" w:cs="Times New Roman"/>
          <w:sz w:val="24"/>
          <w:szCs w:val="24"/>
        </w:rPr>
        <w:t xml:space="preserve"> </w:t>
      </w:r>
      <w:r w:rsidRPr="0070154D">
        <w:rPr>
          <w:rFonts w:ascii="Times New Roman" w:hAnsi="Times New Roman" w:cs="Times New Roman"/>
          <w:sz w:val="24"/>
          <w:szCs w:val="24"/>
        </w:rPr>
        <w:t>of Public Health</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Marion Nestle, PhD, MPH</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Paulette Goddard Professor</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Department of Nutrition,</w:t>
      </w:r>
      <w:r>
        <w:rPr>
          <w:rFonts w:ascii="Times New Roman" w:hAnsi="Times New Roman" w:cs="Times New Roman"/>
          <w:sz w:val="24"/>
          <w:szCs w:val="24"/>
        </w:rPr>
        <w:t xml:space="preserve"> </w:t>
      </w:r>
      <w:r w:rsidRPr="0070154D">
        <w:rPr>
          <w:rFonts w:ascii="Times New Roman" w:hAnsi="Times New Roman" w:cs="Times New Roman"/>
          <w:sz w:val="24"/>
          <w:szCs w:val="24"/>
        </w:rPr>
        <w:t>Food Studies, and Public Health</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New York University</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Bill Niman</w:t>
      </w:r>
    </w:p>
    <w:p w:rsidR="001621EB"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Cattle Rancher and Founder</w:t>
      </w:r>
      <w:r>
        <w:rPr>
          <w:rFonts w:ascii="Times New Roman" w:hAnsi="Times New Roman" w:cs="Times New Roman"/>
          <w:sz w:val="24"/>
          <w:szCs w:val="24"/>
        </w:rPr>
        <w:t xml:space="preserve"> </w:t>
      </w:r>
      <w:r w:rsidRPr="0070154D">
        <w:rPr>
          <w:rFonts w:ascii="Times New Roman" w:hAnsi="Times New Roman" w:cs="Times New Roman"/>
          <w:sz w:val="24"/>
          <w:szCs w:val="24"/>
        </w:rPr>
        <w:t>of Niman Ranch, Inc.</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California</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Bernard Rollin, PhD</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Distinguished Professor</w:t>
      </w:r>
      <w:r>
        <w:rPr>
          <w:rFonts w:ascii="Times New Roman" w:hAnsi="Times New Roman" w:cs="Times New Roman"/>
          <w:sz w:val="24"/>
          <w:szCs w:val="24"/>
        </w:rPr>
        <w:t xml:space="preserve"> </w:t>
      </w:r>
      <w:r w:rsidRPr="0070154D">
        <w:rPr>
          <w:rFonts w:ascii="Times New Roman" w:hAnsi="Times New Roman" w:cs="Times New Roman"/>
          <w:sz w:val="24"/>
          <w:szCs w:val="24"/>
        </w:rPr>
        <w:t>of Philosophy</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Colorado State University</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Mary Wilson, MD</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Associate Professor</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Harvard School of Public Health</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Associate Clinical Professor</w:t>
      </w:r>
      <w:r>
        <w:rPr>
          <w:rFonts w:ascii="Times New Roman" w:hAnsi="Times New Roman" w:cs="Times New Roman"/>
          <w:sz w:val="24"/>
          <w:szCs w:val="24"/>
        </w:rPr>
        <w:t xml:space="preserve"> </w:t>
      </w:r>
      <w:r w:rsidRPr="0070154D">
        <w:rPr>
          <w:rFonts w:ascii="Times New Roman" w:hAnsi="Times New Roman" w:cs="Times New Roman"/>
          <w:sz w:val="24"/>
          <w:szCs w:val="24"/>
        </w:rPr>
        <w:t>of Medicine</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Harvard Medical School</w:t>
      </w:r>
    </w:p>
    <w:p w:rsidR="001621EB" w:rsidRPr="0070154D" w:rsidRDefault="001621EB" w:rsidP="001621EB">
      <w:pPr>
        <w:autoSpaceDE w:val="0"/>
        <w:autoSpaceDN w:val="0"/>
        <w:adjustRightInd w:val="0"/>
        <w:spacing w:after="0" w:line="240" w:lineRule="auto"/>
        <w:rPr>
          <w:rFonts w:ascii="Avenir-Black" w:hAnsi="Avenir-Black" w:cs="Avenir-Black"/>
          <w:sz w:val="24"/>
          <w:szCs w:val="24"/>
        </w:rPr>
      </w:pPr>
    </w:p>
    <w:p w:rsidR="001621EB" w:rsidRPr="0070154D" w:rsidRDefault="001621EB" w:rsidP="001621EB">
      <w:pPr>
        <w:autoSpaceDE w:val="0"/>
        <w:autoSpaceDN w:val="0"/>
        <w:adjustRightInd w:val="0"/>
        <w:spacing w:after="0" w:line="240" w:lineRule="auto"/>
        <w:rPr>
          <w:rFonts w:ascii="Avenir-Black" w:hAnsi="Avenir-Black" w:cs="Avenir-Black"/>
          <w:b/>
          <w:sz w:val="24"/>
          <w:szCs w:val="24"/>
        </w:rPr>
      </w:pPr>
      <w:r w:rsidRPr="0070154D">
        <w:rPr>
          <w:rFonts w:ascii="Avenir-Black" w:hAnsi="Avenir-Black" w:cs="Avenir-Black"/>
          <w:b/>
          <w:sz w:val="24"/>
          <w:szCs w:val="24"/>
        </w:rPr>
        <w:t>PCIFAP Staff</w:t>
      </w:r>
    </w:p>
    <w:p w:rsidR="001621EB" w:rsidRPr="0070154D" w:rsidRDefault="001621EB" w:rsidP="001621EB">
      <w:pPr>
        <w:autoSpaceDE w:val="0"/>
        <w:autoSpaceDN w:val="0"/>
        <w:adjustRightInd w:val="0"/>
        <w:spacing w:after="0" w:line="240" w:lineRule="auto"/>
        <w:rPr>
          <w:rFonts w:ascii="Avenir-Black" w:hAnsi="Avenir-Black" w:cs="Avenir-Black"/>
          <w:b/>
          <w:sz w:val="24"/>
          <w:szCs w:val="24"/>
        </w:rPr>
      </w:pP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Robert P. Martin, Executive Director</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Emily A. McVey, PhD, Science Director</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Paul Wolfe, Policy Analyst</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Ralph Loglisci, Communications Director</w:t>
      </w:r>
    </w:p>
    <w:p w:rsidR="001621EB" w:rsidRPr="0070154D" w:rsidRDefault="001621EB" w:rsidP="001621EB">
      <w:pPr>
        <w:autoSpaceDE w:val="0"/>
        <w:autoSpaceDN w:val="0"/>
        <w:adjustRightInd w:val="0"/>
        <w:spacing w:after="0" w:line="240" w:lineRule="auto"/>
        <w:rPr>
          <w:rFonts w:ascii="Times New Roman" w:hAnsi="Times New Roman" w:cs="Times New Roman"/>
          <w:sz w:val="24"/>
          <w:szCs w:val="24"/>
        </w:rPr>
      </w:pPr>
      <w:r w:rsidRPr="0070154D">
        <w:rPr>
          <w:rFonts w:ascii="Times New Roman" w:hAnsi="Times New Roman" w:cs="Times New Roman"/>
          <w:sz w:val="24"/>
          <w:szCs w:val="24"/>
        </w:rPr>
        <w:t>Lisa Bertelson, Research Associate</w:t>
      </w:r>
    </w:p>
    <w:p w:rsidR="001621EB" w:rsidRDefault="001621EB" w:rsidP="006E3BC2">
      <w:pPr>
        <w:spacing w:after="0"/>
      </w:pPr>
    </w:p>
    <w:sectPr w:rsidR="001621EB" w:rsidSect="005D7393">
      <w:footerReference w:type="default" r:id="rId15"/>
      <w:pgSz w:w="12240" w:h="15840"/>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78E0" w:rsidRDefault="002878E0" w:rsidP="005D7393">
      <w:pPr>
        <w:spacing w:after="0" w:line="240" w:lineRule="auto"/>
      </w:pPr>
      <w:r>
        <w:separator/>
      </w:r>
    </w:p>
  </w:endnote>
  <w:endnote w:type="continuationSeparator" w:id="0">
    <w:p w:rsidR="002878E0" w:rsidRDefault="002878E0" w:rsidP="005D73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Garamond-Regular">
    <w:panose1 w:val="00000000000000000000"/>
    <w:charset w:val="00"/>
    <w:family w:val="roman"/>
    <w:notTrueType/>
    <w:pitch w:val="default"/>
    <w:sig w:usb0="00000003" w:usb1="00000000" w:usb2="00000000" w:usb3="00000000" w:csb0="00000001" w:csb1="00000000"/>
  </w:font>
  <w:font w:name="Avenir-Blac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60797"/>
      <w:docPartObj>
        <w:docPartGallery w:val="Page Numbers (Bottom of Page)"/>
        <w:docPartUnique/>
      </w:docPartObj>
    </w:sdtPr>
    <w:sdtContent>
      <w:p w:rsidR="0003166C" w:rsidRDefault="00F1107F">
        <w:pPr>
          <w:pStyle w:val="Footer"/>
          <w:jc w:val="center"/>
        </w:pPr>
        <w:fldSimple w:instr=" PAGE   \* MERGEFORMAT ">
          <w:r w:rsidR="00E564CC">
            <w:rPr>
              <w:noProof/>
            </w:rPr>
            <w:t>1</w:t>
          </w:r>
        </w:fldSimple>
      </w:p>
    </w:sdtContent>
  </w:sdt>
  <w:p w:rsidR="0003166C" w:rsidRDefault="000316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78E0" w:rsidRDefault="002878E0" w:rsidP="005D7393">
      <w:pPr>
        <w:spacing w:after="0" w:line="240" w:lineRule="auto"/>
      </w:pPr>
      <w:r>
        <w:separator/>
      </w:r>
    </w:p>
  </w:footnote>
  <w:footnote w:type="continuationSeparator" w:id="0">
    <w:p w:rsidR="002878E0" w:rsidRDefault="002878E0" w:rsidP="005D7393">
      <w:pPr>
        <w:spacing w:after="0" w:line="240" w:lineRule="auto"/>
      </w:pPr>
      <w:r>
        <w:continuationSeparator/>
      </w:r>
    </w:p>
  </w:footnote>
  <w:footnote w:id="1">
    <w:p w:rsidR="0003166C" w:rsidRDefault="0003166C" w:rsidP="005D7393">
      <w:pPr>
        <w:pStyle w:val="FootnoteText"/>
      </w:pPr>
      <w:r>
        <w:rPr>
          <w:rStyle w:val="FootnoteReference"/>
        </w:rPr>
        <w:footnoteRef/>
      </w:r>
      <w:r>
        <w:t xml:space="preserve"> The PCIFAP defines </w:t>
      </w:r>
      <w:r w:rsidRPr="00344CCA">
        <w:t>non</w:t>
      </w:r>
      <w:r w:rsidR="00344CCA" w:rsidRPr="00344CCA">
        <w:t>-</w:t>
      </w:r>
      <w:r w:rsidRPr="00344CCA">
        <w:t>therapeutic</w:t>
      </w:r>
      <w:r>
        <w:t xml:space="preserve"> as any use of antimicrobials in food animals in the absence of clinical disease or known (documented) disease exposure; i.e. any use of the drug as a food or water additive for </w:t>
      </w:r>
      <w:r>
        <w:rPr>
          <w:b/>
        </w:rPr>
        <w:t>growth promotion</w:t>
      </w:r>
      <w:r>
        <w:t>, feed efficiency, weight gain, disease prevention in the absence of documented exposure or any other “routine” use as non-therapeutic.</w:t>
      </w:r>
    </w:p>
  </w:footnote>
  <w:footnote w:id="2">
    <w:p w:rsidR="0003166C" w:rsidRDefault="0003166C" w:rsidP="005D7393">
      <w:pPr>
        <w:pStyle w:val="FootnoteText"/>
      </w:pPr>
      <w:r>
        <w:rPr>
          <w:rStyle w:val="FootnoteReference"/>
        </w:rPr>
        <w:footnoteRef/>
      </w:r>
      <w:r>
        <w:t xml:space="preserve"> The PCIFAP defines </w:t>
      </w:r>
      <w:r w:rsidRPr="00344CCA">
        <w:t>non</w:t>
      </w:r>
      <w:r w:rsidR="00344CCA" w:rsidRPr="00344CCA">
        <w:t>-</w:t>
      </w:r>
      <w:r w:rsidRPr="00344CCA">
        <w:t>therapeutic</w:t>
      </w:r>
      <w:r>
        <w:t xml:space="preserve"> as any use of antimicrobials in food animals in the absence of clinical disease or known (documented) disease exposure; i.e. any use of the drug as a food or water additive for </w:t>
      </w:r>
      <w:r>
        <w:rPr>
          <w:b/>
        </w:rPr>
        <w:t>growth promotion</w:t>
      </w:r>
      <w:r>
        <w:t>, feed efficiency, weight gain, disease prevention in the absence of documented exposure or any other “routine” use as non-therapeutic.</w:t>
      </w:r>
    </w:p>
  </w:footnote>
  <w:footnote w:id="3">
    <w:p w:rsidR="0003166C" w:rsidRPr="003F7268" w:rsidRDefault="0003166C" w:rsidP="005D7393">
      <w:pPr>
        <w:pStyle w:val="FootnoteText"/>
      </w:pPr>
      <w:r w:rsidRPr="003F7268">
        <w:rPr>
          <w:rStyle w:val="FootnoteReference"/>
        </w:rPr>
        <w:footnoteRef/>
      </w:r>
      <w:r w:rsidRPr="003F7268">
        <w:t xml:space="preserve"> </w:t>
      </w:r>
      <w:r w:rsidRPr="00C907A5">
        <w:rPr>
          <w:rStyle w:val="bodytext1"/>
        </w:rPr>
        <w:t>Fluoroquinolones are approved in animals only for therapeutic use (not for non</w:t>
      </w:r>
      <w:r w:rsidR="00344CCA">
        <w:rPr>
          <w:rStyle w:val="bodytext1"/>
        </w:rPr>
        <w:t>-</w:t>
      </w:r>
      <w:r w:rsidRPr="00C907A5">
        <w:rPr>
          <w:rStyle w:val="bodytext1"/>
        </w:rPr>
        <w:t>therapeutic use), and thus are not covered under PAMTA</w:t>
      </w:r>
      <w:r w:rsidRPr="003F7268">
        <w:rPr>
          <w:rStyle w:val="bodytext1"/>
        </w:rPr>
        <w:t>.</w:t>
      </w:r>
    </w:p>
  </w:footnote>
  <w:footnote w:id="4">
    <w:p w:rsidR="0003166C" w:rsidRPr="00C907A5" w:rsidRDefault="0003166C" w:rsidP="009F074D">
      <w:pPr>
        <w:rPr>
          <w:rFonts w:ascii="Times New Roman" w:hAnsi="Times New Roman" w:cs="Times New Roman"/>
          <w:sz w:val="20"/>
          <w:szCs w:val="20"/>
        </w:rPr>
      </w:pPr>
      <w:r w:rsidRPr="00C907A5">
        <w:rPr>
          <w:rStyle w:val="FootnoteReference"/>
          <w:rFonts w:ascii="Times New Roman" w:hAnsi="Times New Roman" w:cs="Times New Roman"/>
          <w:sz w:val="20"/>
          <w:szCs w:val="20"/>
        </w:rPr>
        <w:footnoteRef/>
      </w:r>
      <w:r w:rsidRPr="00C907A5">
        <w:rPr>
          <w:rFonts w:ascii="Times New Roman" w:hAnsi="Times New Roman" w:cs="Times New Roman"/>
          <w:sz w:val="20"/>
          <w:szCs w:val="20"/>
        </w:rPr>
        <w:t xml:space="preserve"> For the Commission’s recommendations, the members considered many definitions; a complete list of sources is in Appendix 1. </w:t>
      </w:r>
    </w:p>
  </w:footnote>
  <w:footnote w:id="5">
    <w:p w:rsidR="0003166C" w:rsidRDefault="0003166C" w:rsidP="009F074D">
      <w:pPr>
        <w:pStyle w:val="FootnoteText"/>
      </w:pPr>
      <w:r>
        <w:rPr>
          <w:rStyle w:val="FootnoteReference"/>
        </w:rPr>
        <w:footnoteRef/>
      </w:r>
      <w:r>
        <w:t xml:space="preserve"> This definition is adapted from PAMTA 2007.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6277D8"/>
    <w:multiLevelType w:val="hybridMultilevel"/>
    <w:tmpl w:val="A2CAA614"/>
    <w:lvl w:ilvl="0" w:tplc="C1D48E82">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F100CF9"/>
    <w:multiLevelType w:val="hybridMultilevel"/>
    <w:tmpl w:val="ABA8B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8616B6E"/>
    <w:multiLevelType w:val="hybridMultilevel"/>
    <w:tmpl w:val="392CC5A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A9173B7"/>
    <w:multiLevelType w:val="hybridMultilevel"/>
    <w:tmpl w:val="EABCC4B4"/>
    <w:lvl w:ilvl="0" w:tplc="E7F07B34">
      <w:start w:val="1"/>
      <w:numFmt w:val="bullet"/>
      <w:lvlText w:val="•"/>
      <w:lvlJc w:val="left"/>
      <w:pPr>
        <w:tabs>
          <w:tab w:val="num" w:pos="720"/>
        </w:tabs>
        <w:ind w:left="720" w:hanging="360"/>
      </w:pPr>
      <w:rPr>
        <w:rFonts w:ascii="Times New Roman" w:hAnsi="Times New Roman" w:hint="default"/>
      </w:rPr>
    </w:lvl>
    <w:lvl w:ilvl="1" w:tplc="038C4A6C">
      <w:start w:val="2070"/>
      <w:numFmt w:val="bullet"/>
      <w:lvlText w:val="–"/>
      <w:lvlJc w:val="left"/>
      <w:pPr>
        <w:tabs>
          <w:tab w:val="num" w:pos="1440"/>
        </w:tabs>
        <w:ind w:left="1440" w:hanging="360"/>
      </w:pPr>
      <w:rPr>
        <w:rFonts w:ascii="Times New Roman" w:hAnsi="Times New Roman" w:hint="default"/>
      </w:rPr>
    </w:lvl>
    <w:lvl w:ilvl="2" w:tplc="96EE98C6" w:tentative="1">
      <w:start w:val="1"/>
      <w:numFmt w:val="bullet"/>
      <w:lvlText w:val="•"/>
      <w:lvlJc w:val="left"/>
      <w:pPr>
        <w:tabs>
          <w:tab w:val="num" w:pos="2160"/>
        </w:tabs>
        <w:ind w:left="2160" w:hanging="360"/>
      </w:pPr>
      <w:rPr>
        <w:rFonts w:ascii="Times New Roman" w:hAnsi="Times New Roman" w:hint="default"/>
      </w:rPr>
    </w:lvl>
    <w:lvl w:ilvl="3" w:tplc="4FF4C71E" w:tentative="1">
      <w:start w:val="1"/>
      <w:numFmt w:val="bullet"/>
      <w:lvlText w:val="•"/>
      <w:lvlJc w:val="left"/>
      <w:pPr>
        <w:tabs>
          <w:tab w:val="num" w:pos="2880"/>
        </w:tabs>
        <w:ind w:left="2880" w:hanging="360"/>
      </w:pPr>
      <w:rPr>
        <w:rFonts w:ascii="Times New Roman" w:hAnsi="Times New Roman" w:hint="default"/>
      </w:rPr>
    </w:lvl>
    <w:lvl w:ilvl="4" w:tplc="80B072E2" w:tentative="1">
      <w:start w:val="1"/>
      <w:numFmt w:val="bullet"/>
      <w:lvlText w:val="•"/>
      <w:lvlJc w:val="left"/>
      <w:pPr>
        <w:tabs>
          <w:tab w:val="num" w:pos="3600"/>
        </w:tabs>
        <w:ind w:left="3600" w:hanging="360"/>
      </w:pPr>
      <w:rPr>
        <w:rFonts w:ascii="Times New Roman" w:hAnsi="Times New Roman" w:hint="default"/>
      </w:rPr>
    </w:lvl>
    <w:lvl w:ilvl="5" w:tplc="E244D7C2" w:tentative="1">
      <w:start w:val="1"/>
      <w:numFmt w:val="bullet"/>
      <w:lvlText w:val="•"/>
      <w:lvlJc w:val="left"/>
      <w:pPr>
        <w:tabs>
          <w:tab w:val="num" w:pos="4320"/>
        </w:tabs>
        <w:ind w:left="4320" w:hanging="360"/>
      </w:pPr>
      <w:rPr>
        <w:rFonts w:ascii="Times New Roman" w:hAnsi="Times New Roman" w:hint="default"/>
      </w:rPr>
    </w:lvl>
    <w:lvl w:ilvl="6" w:tplc="C2388052" w:tentative="1">
      <w:start w:val="1"/>
      <w:numFmt w:val="bullet"/>
      <w:lvlText w:val="•"/>
      <w:lvlJc w:val="left"/>
      <w:pPr>
        <w:tabs>
          <w:tab w:val="num" w:pos="5040"/>
        </w:tabs>
        <w:ind w:left="5040" w:hanging="360"/>
      </w:pPr>
      <w:rPr>
        <w:rFonts w:ascii="Times New Roman" w:hAnsi="Times New Roman" w:hint="default"/>
      </w:rPr>
    </w:lvl>
    <w:lvl w:ilvl="7" w:tplc="5E2E9CBE" w:tentative="1">
      <w:start w:val="1"/>
      <w:numFmt w:val="bullet"/>
      <w:lvlText w:val="•"/>
      <w:lvlJc w:val="left"/>
      <w:pPr>
        <w:tabs>
          <w:tab w:val="num" w:pos="5760"/>
        </w:tabs>
        <w:ind w:left="5760" w:hanging="360"/>
      </w:pPr>
      <w:rPr>
        <w:rFonts w:ascii="Times New Roman" w:hAnsi="Times New Roman" w:hint="default"/>
      </w:rPr>
    </w:lvl>
    <w:lvl w:ilvl="8" w:tplc="C52A80D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D7393"/>
    <w:rsid w:val="000000F0"/>
    <w:rsid w:val="0003166C"/>
    <w:rsid w:val="000D1C17"/>
    <w:rsid w:val="000E3D8A"/>
    <w:rsid w:val="000E4904"/>
    <w:rsid w:val="00152B1E"/>
    <w:rsid w:val="001621EB"/>
    <w:rsid w:val="00175AE5"/>
    <w:rsid w:val="001A3E79"/>
    <w:rsid w:val="001A6136"/>
    <w:rsid w:val="001C0414"/>
    <w:rsid w:val="0020642D"/>
    <w:rsid w:val="00244E15"/>
    <w:rsid w:val="002878E0"/>
    <w:rsid w:val="002A043C"/>
    <w:rsid w:val="00344CCA"/>
    <w:rsid w:val="004332A3"/>
    <w:rsid w:val="0057607B"/>
    <w:rsid w:val="005D4E52"/>
    <w:rsid w:val="005D7393"/>
    <w:rsid w:val="005D7506"/>
    <w:rsid w:val="006B6E17"/>
    <w:rsid w:val="006E3BC2"/>
    <w:rsid w:val="00767143"/>
    <w:rsid w:val="007C2B7B"/>
    <w:rsid w:val="008973D2"/>
    <w:rsid w:val="008D0252"/>
    <w:rsid w:val="00910207"/>
    <w:rsid w:val="00973892"/>
    <w:rsid w:val="009E459B"/>
    <w:rsid w:val="009F074D"/>
    <w:rsid w:val="00AB01B1"/>
    <w:rsid w:val="00BA6875"/>
    <w:rsid w:val="00BA7135"/>
    <w:rsid w:val="00BC0CC3"/>
    <w:rsid w:val="00BE0294"/>
    <w:rsid w:val="00C3529B"/>
    <w:rsid w:val="00C70CB2"/>
    <w:rsid w:val="00CA1426"/>
    <w:rsid w:val="00CF5F55"/>
    <w:rsid w:val="00D10817"/>
    <w:rsid w:val="00D84AC0"/>
    <w:rsid w:val="00E456C2"/>
    <w:rsid w:val="00E564CC"/>
    <w:rsid w:val="00E80D04"/>
    <w:rsid w:val="00EA39C5"/>
    <w:rsid w:val="00F1107F"/>
    <w:rsid w:val="00FB38A5"/>
    <w:rsid w:val="00FD492C"/>
    <w:rsid w:val="00FF3693"/>
    <w:rsid w:val="00FF69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3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5D7393"/>
    <w:rPr>
      <w:vertAlign w:val="superscript"/>
    </w:rPr>
  </w:style>
  <w:style w:type="paragraph" w:styleId="FootnoteText">
    <w:name w:val="footnote text"/>
    <w:basedOn w:val="Normal"/>
    <w:link w:val="FootnoteTextChar"/>
    <w:semiHidden/>
    <w:rsid w:val="005D7393"/>
    <w:pPr>
      <w:spacing w:after="0" w:line="36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5D7393"/>
    <w:rPr>
      <w:rFonts w:ascii="Times New Roman" w:eastAsia="Times New Roman" w:hAnsi="Times New Roman" w:cs="Times New Roman"/>
      <w:sz w:val="20"/>
      <w:szCs w:val="20"/>
    </w:rPr>
  </w:style>
  <w:style w:type="character" w:customStyle="1" w:styleId="bodytext1">
    <w:name w:val="bodytext1"/>
    <w:basedOn w:val="DefaultParagraphFont"/>
    <w:rsid w:val="005D7393"/>
    <w:rPr>
      <w:rFonts w:ascii="Arial" w:hAnsi="Arial" w:cs="Arial" w:hint="default"/>
      <w:color w:val="330000"/>
      <w:sz w:val="19"/>
      <w:szCs w:val="19"/>
    </w:rPr>
  </w:style>
  <w:style w:type="paragraph" w:styleId="ListParagraph">
    <w:name w:val="List Paragraph"/>
    <w:basedOn w:val="Normal"/>
    <w:uiPriority w:val="34"/>
    <w:qFormat/>
    <w:rsid w:val="000E4904"/>
    <w:pPr>
      <w:ind w:left="720"/>
      <w:contextualSpacing/>
    </w:pPr>
  </w:style>
  <w:style w:type="paragraph" w:styleId="Header">
    <w:name w:val="header"/>
    <w:basedOn w:val="Normal"/>
    <w:link w:val="HeaderChar"/>
    <w:uiPriority w:val="99"/>
    <w:semiHidden/>
    <w:unhideWhenUsed/>
    <w:rsid w:val="00175AE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75AE5"/>
  </w:style>
  <w:style w:type="paragraph" w:styleId="Footer">
    <w:name w:val="footer"/>
    <w:basedOn w:val="Normal"/>
    <w:link w:val="FooterChar"/>
    <w:uiPriority w:val="99"/>
    <w:unhideWhenUsed/>
    <w:rsid w:val="00175A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AE5"/>
  </w:style>
  <w:style w:type="character" w:styleId="CommentReference">
    <w:name w:val="annotation reference"/>
    <w:basedOn w:val="DefaultParagraphFont"/>
    <w:uiPriority w:val="99"/>
    <w:semiHidden/>
    <w:unhideWhenUsed/>
    <w:rsid w:val="008973D2"/>
    <w:rPr>
      <w:sz w:val="16"/>
      <w:szCs w:val="16"/>
    </w:rPr>
  </w:style>
  <w:style w:type="paragraph" w:styleId="CommentText">
    <w:name w:val="annotation text"/>
    <w:basedOn w:val="Normal"/>
    <w:link w:val="CommentTextChar"/>
    <w:uiPriority w:val="99"/>
    <w:semiHidden/>
    <w:unhideWhenUsed/>
    <w:rsid w:val="008973D2"/>
    <w:pPr>
      <w:spacing w:line="240" w:lineRule="auto"/>
    </w:pPr>
    <w:rPr>
      <w:sz w:val="20"/>
      <w:szCs w:val="20"/>
    </w:rPr>
  </w:style>
  <w:style w:type="character" w:customStyle="1" w:styleId="CommentTextChar">
    <w:name w:val="Comment Text Char"/>
    <w:basedOn w:val="DefaultParagraphFont"/>
    <w:link w:val="CommentText"/>
    <w:uiPriority w:val="99"/>
    <w:semiHidden/>
    <w:rsid w:val="008973D2"/>
    <w:rPr>
      <w:sz w:val="20"/>
      <w:szCs w:val="20"/>
    </w:rPr>
  </w:style>
  <w:style w:type="paragraph" w:styleId="CommentSubject">
    <w:name w:val="annotation subject"/>
    <w:basedOn w:val="CommentText"/>
    <w:next w:val="CommentText"/>
    <w:link w:val="CommentSubjectChar"/>
    <w:uiPriority w:val="99"/>
    <w:semiHidden/>
    <w:unhideWhenUsed/>
    <w:rsid w:val="008973D2"/>
    <w:rPr>
      <w:b/>
      <w:bCs/>
    </w:rPr>
  </w:style>
  <w:style w:type="character" w:customStyle="1" w:styleId="CommentSubjectChar">
    <w:name w:val="Comment Subject Char"/>
    <w:basedOn w:val="CommentTextChar"/>
    <w:link w:val="CommentSubject"/>
    <w:uiPriority w:val="99"/>
    <w:semiHidden/>
    <w:rsid w:val="008973D2"/>
    <w:rPr>
      <w:b/>
      <w:bCs/>
    </w:rPr>
  </w:style>
  <w:style w:type="paragraph" w:styleId="BalloonText">
    <w:name w:val="Balloon Text"/>
    <w:basedOn w:val="Normal"/>
    <w:link w:val="BalloonTextChar"/>
    <w:uiPriority w:val="99"/>
    <w:semiHidden/>
    <w:unhideWhenUsed/>
    <w:rsid w:val="008973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3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3674</Words>
  <Characters>20948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The Pew Charitable Trusts</Company>
  <LinksUpToDate>false</LinksUpToDate>
  <CharactersWithSpaces>24573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rmartin</dc:creator>
  <cp:lastModifiedBy>Marion Nestle</cp:lastModifiedBy>
  <cp:revision>2</cp:revision>
  <cp:lastPrinted>2009-07-09T19:11:00Z</cp:lastPrinted>
  <dcterms:created xsi:type="dcterms:W3CDTF">2009-07-14T19:41:00Z</dcterms:created>
  <dcterms:modified xsi:type="dcterms:W3CDTF">2009-07-14T19:41:00Z</dcterms:modified>
</cp:coreProperties>
</file>